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A DOCUMENT ON THE GROUND OF MINORITY OF THE PLAINTIFF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was aged.................... year on.............. 19............ his date of birth being............... 19...................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mother of the plaintiff, Smt..................... w/o Shri.................... executed a sale deed of the house of the plaintiff, House No..................... situate on.................... street.................... in favour of the defendant alleging herself to be the natural guardian of the plaintiff.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mother aforesaid of the plaintiff did not obtain permission of the District Judge for executing the aforesaid sale, and as such the sale deed is void.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defendant has applied for mutation of his name in the Nagar Palika record on.................... and the plaintiff has reasonable apprehension that if the sale deed is left outstanding, the defendant will obtain possession of the said house or will execute another sale deed in favour of some third person in order to create further legal difficulties for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cause of action arose on.................... when the mother aforesaid of the plaintiff executed the sale deed in favour of the defendant, and this court has jurisdiction to try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suit is valued at Rs..................... the sale price of the house and for the purpose of court fee the valuation of the suit is Rs..................... as the plaintiff is in possession of the house which is the subject-matter of the sale-deed aforesaid, and court fee is paid thereon.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to have the sale-deed adjudicated void and cancelled.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