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CANCELLATION OF A SALE DEED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been serving as.................... under the Central Government, at..................... and his father Shri.................... had been residing at his home at.................... with his mother, and had been suffering from Tuberculosis for the last two years.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Shri.................... aforesaid has died on.................... after long illness aforesaid and when the plaintiff reached his home village to perform the funeral ceremony of his father and remained there for performance of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Trayodoshi Sanskar,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came to know from some reliable source that Shri..................... a fast friend of his father had taken the latter to the registry of the District and has got executed a sale deed of the tenancy lands of his father in the said village on ..................... by misrepresentation or undue influence.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sale deed aforesaid is void due to misrepresentation or undue influence and also due to the fact that said.................... was not in his normal senses due to his long sickness and it is expedient that the said sale deed be cancelled.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on.................... 19...................., within the jurisdiction of this Court when the said sale deed was executed.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and court-fee is paid thereon.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 claimed by this suit is that the sale deed dated.................... 19 .................... executed by Shri.................... in favour of Shri.................... defendant and cost of the suit be awarded to the plaintiff.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