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CLAIM FOR SETTLED OR CUSTOMARY INTEREST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sold printed books to the defendant on.................... 19.................... on credit worth Rs..................... on condition printed in the Bill itself handed over after getting it countersigned by the defendant to the defendant, that if payment of the bill is not made within fifteen days, interest at the rate of 18 per cent per annum will be charged on the price of the books aforesaid after expiry of fifteen days.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plaintiff supplied grain of Rs..................... on credit to the defendant on.................... 19.................... and according to the custom of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Galla Mandi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 city, interest at the rate of............. per cent is charges if the money of the grain is not paid within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Pakhwara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taking delivery of the goods on credit.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fifteen days after.................... 19.................... have expired and the defendant has not paid the price of the goods supplied to him on credit.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cause of action arose on.................... 19.................... when fifteen days expired and this Court has jurisdiction to decide the matter.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suit is valued at Rs..................... which includes the price of the goods supplied on credit and interest Rs..................... upto the date of filing the suit and court fee is paid thereon.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price of the goods sold and Rs..................... interest thereon upto the date of filing the suit and interest thereafter till payment thereof.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