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COMPENSATION FOR FAILURE TO FINISH THE WORK ACCORDING TO CONTRACT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is a recognised and government aided Inter-mediate College in the City of.................... and the defendant is a furniture maker of the same city. The defendant agreed on.................... 19.................... to make and complete the furniture required for 6 new sections to be opened from the session next following in.................... 19..................... for Rs...................... The details of the furniture is given in the Schedule annexed hereto.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said furniture was to be completed before.................... in every case. But the defendant has utterly failed to make the said furniture by the time aforesaid, and the plaintiff could not arrange for the furniture from any other source for running the newly sanctioned sections of some classes mentioned below: and as such the plaintiff had to leave the idea for starting classes from this session beginning from.................... 19.................... and had to run a loss of Rs..................... caused thereby.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Particulars of the ordered furniture: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has not cared to complete the work within time and the plaintiff gave a registered notice dated.................... of 19.................... to him claiming damages from him, which was received by the Defendant on.................... 19....................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and this court has jurisdiction to decide the suit.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and court-fee is paid according to reliefs claimed.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from him and interest from the date of the suit.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