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CONTRIBUTION BETWEEN CO-JUDGEMENT DEBTORS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and.................... and.................... defendants are real brothers and had been tenants of house No..................... situate at..................... at a monthly rent of Rs..................... /- per month for the whole house aforesaid, though, however the plaintiff and the defendants had been living in separate portions of the house, and were contributing Rs..................... /- per month each towards the rent of the house.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 and the defendants fell in arrears of the house rent and the landlord filed a suit for recovery of the arrears of rent and for their eviction.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suit No..................... of 19.................... was ultimately decreed and the landlord got the goods of the plaintiff attached and compelled him to satisfy the decree for Rs..................... which the plaintiff alone paid.................... on .................... 19....................</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cause of action for contribution arose on.................... when the plaintiff paid the whole amount of the decree himself alone, and this Court has jurisdiction to decide the suit.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suit is valued at Rs..................... the amount to be realised from the defendants, and court-fee is paid accordingly.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Rs..................... from each defendant with interest from the date of suit to the date of payment.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