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AND FOR WAGES BY A SERVANT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was employed by the defendant as his typist on a monthly salary of Rs...................... on.................... 19..................... for his office 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was given appointment letter dated.................... 19.................... to the effect abovenamed.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is a young unmarried lady of high caste Brahman family of Punjab, and the defendant belongs to a Scheduled Caste family and is married. He wanted to black mail the plaintiff to keep her as his concubine under the colour of a clerk, and for that he began to disturb her modesty under one make belief or the other, which the plaintiff did not like and flatly objected to his mischiefs.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thereafter on.................... 19.................... the defendant accused the plaintiff of stealing his money from his drawer and under that accusation he terminated the services of the plaintiff, without paying her salary for last month, i. e., the month of.................... 19....................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defendant also made a false report to the Police, for which the plaintiff was prosecuted, but later on discharged on finding the accusation to be baseless, on .................... 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plaintiff has suffered a damage in her reputation for Rs..................... as she has been degraded in the esteem of the relations and acquaintances of her and the general public.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cause of action arose on.................... 19.................... when the plaintiff was wrongfully terminated by the defendant after misbehaving many a time with her disturbing her modesty, and blaming her for committing theft of his money, and secondly when the defendant falsely accused the plaintiff of theft; and this Court has jurisdiction to try the suit.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suit is valued at Rs...................... the damages for defamation and malicious prosecution and one month’s salary. Court fee is paid thereon.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payment of Rs..................... from the defendant;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interest on the aforesaid amount from the date of filing the suit till payment of the amount aforesaid.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