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AND INJUNCTION FOR OBSTRUCTING A RIGHT TO USE WATER FOR IRRIGATION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and was at the time hereinafter mentioned, possessed of certain lands situate, etc., and entitled to take and use a portion of the water of a certain stream for irrigating the said lands.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defendant prevented the plaintiff from taking and obstructing and diverting the said stream.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plaintiff verbally requested the defendant not to do so and also gave a registered notice dated.................... received by the defendant on.................... 19..................... requesting him to restrain himself from doing any further the wrongful act aforesaid, and also to tender Rs..................... as damages for his wrongful act already committed and damage caused to the plaintiff. The reply of the defendant denying his liability was received by the plaintiff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defendant is liable to be restrained by issue of a permanent prohibitory injunction and to pay damages to the plaintiff for the wrongful act already committed and damage caused to the plaintiff as aforementioned.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cause of action arose on.................... 19.................... within jurisdiction of this Court when the defendant first committed the wrongful act, secondly on.................... 19.................... when the defendant received the notice of the plaintiff and lastly on.................... 19.................... when the plaintiff received the reply of the defendant denying his liability.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amount of damages claimed and Rs..................... for the purposes of issuing injunction, and Court, fee is paid on both the reliefs accordingly.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Defendant be restrained by issuing a permanent injunction restraining the defendant from interfering into the right of the plaintiff by preventing the plaintiff in any way from taking and using the said portion of the said water.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Payment of Rs..................... as damages for the wrongful act of the defendant already done and damage caused to the 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