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CAUSED BY THE DEFENDANT’S CATTLE TO THE CROP OF THE PLAINTIFF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is a dairy farmer and keeps about two dozen buffalloes but keeps no farm of agricultural plots. He grazes his buffalloes on the road side. The plaintiff has his fields about a furlong away interior to the Highway.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on.................... 19.................... the buffalloes about a dozen in number strayed to the field No..................... of the plaintiff in the village.................... and caused damage to his wheat crop. The crop was destroyed as partly grazed, and partly trampled and caused loss of value of the crop of Rs..................... /-, being Rs..................... /- per bigha.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cause of action arose on.................... 19.................... when the cattle caused damage and this court has jurisdiction to decide the suit.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Rs..................... /- the amount of damage caused and court-fee is paid accordingly.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 from the defendant as damages caused by the defendant’s cattle and interest from date of suit till payment of the damages aforesaid.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