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DAMAGES FOR ASSAULT AN BATTERY</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the plaintiff on.................... 19.................... went to the defendant’s press for making a demand of his money borrowed by the defendant. The defendant, when asked for payment of the money borrowed by him, got irritated and abused the plaintiff and caught hold of his shirt collar and pressed it and hurled him out of the press premises.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plaintiff felt suffocation while his collar of the shirt was caught hold of by the defendant and being pressed to hurl him out of the premises, and then by his hurling the plaintiff, the plaintiff fell on the road on stone and got injuries on his head and chest.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plaintiff remained in the Nursing Home of.................... at .................... for a week and had to pay Rs..................... as expenses of the nursing and medical treatment. The Bill of the Nursing Home which the plaintiff had to pay to the incharge Doctor thereof is filed herewith. The plaintiff also suffered damage of seven days’ leave without pay when he had to remain in nursing home for medical treatment, which amounts to Rs......................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cause of action arose on.................... 19.................... when the plaintiff suffered injuries due to the assault and battery made by the defendant on the plaintiff.</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the suit is valued at Rs...................... the damages suffered by the plaintiff for medical treatment and leave without pay and court-fee is paid thereon.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RELIEFS CLAIMED: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plaintiff claims the following reliefs: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payment of Rs..................... as damages from the defendant, and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interest from date of suit to that of payment of the amount aforesaid with interest.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paras....................to.................... of the plaint are true to my personal knowledge and those of paras.................... and.................... thereof are based on legal advice which I believe to be true.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