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FOR USE AND OCCUPATION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executor of the will of XY, deceased,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defendant occupied the house No.......................................... by permission of the said X. Y., from the.................... day of.................... 19 ..................... until the.................... day of.................... 19..................... and no agreement was made as to payment for the use of the said premises.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use of the said premises for the said period was reasonably worth .................... rupees.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defendant has not paid the money.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cause of action arose on.................... 19.................... when the plaintiff’s notice in writing demanding the money for use and occupation as aforementioned was served upon the defendant, and lastly on.................... 19................... when the plaintiff received the reply of the defendant refusing his liability to pay for the amount. This Court has jurisdiction to try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valuation of the suit for the purposes of pecuniary jurisdiction is .................... rupees and court fees is paid thereon.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as executor of X. Y. claims Payment of.................... Rupees from defendant with interest at the rate of.............. % per annum and costs of the suit.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