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DAMAGES ON AN INDEMNITY BOND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purchased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Bhumidhari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Land of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Khata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situate at village.................... of Tahsil.................... District.................... of .................... on.................... 19.................... from E. F. for Rs..................... through a registered sale deed executed on.................... 19....................</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while purchasing the land aforesaid, the defendant executed an indemnity bond to the effect that the land aforesaid is free from any encumbrance, and if anything is found due to the land, the defendant would satisfy the damages so caused to the plaintiff.</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after purchase of the aforesaid land, the plaintiff was demanded Rs. .................... as arrears of electricity consumed for the tubewell, and the amount of Rs..................... on account of a simple mortgage of the same land executed on .................... 19.................... in favour of XY. The plaintiff had to pay the electricity charges aforesaid as land revenue to the Electricity Board, and Rs..................... to XY for the satisfaction of the simple mortgage mentioned above.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cause of action arose on.................... 19..................... when the plaintiff had to pay the electricity charges, arrears and on.................... 19 .................... when the plaintiff had to pay Rs..................... in satisfaction of the mortgage aforesaid, and this Court has jurisdiction to decide the suit.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suit is valued at Rs..................... the amount of the electricity charges plus the amount paid in satisfaction of the mortgage aforesaid, and court fee is paid on the said amount.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Rs..................... from the defendant as damages on account of payment of electricity charges and the amount of the said mortgage and interest from the date of filing the suit till payment thereof.</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