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DELIVERY OF MOVABLES WRONGFULLY DETAINED OR FOR COMPENSATION THEREFOR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Plaintiff owned (or state facts showing a right to the possession) the goods mentioned in the Schedule hereto annexed (or describe the goods), the estimated value of which is .................... rupees.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From that day until the commencement of this suit the defendant has detained the same from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Before the commencement of the suit, to wit, on the.................... day .................... 19..................... the plaintiff demanded the same from the defendant, but he refused to deliver them.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cause of action arose with the jurisdiction of this Court on.................... 19.................... when the defendant detained wrongfully the movable of the plaintiff, which are detailed in the Schedule annexed hereto.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valuation of the suit is Rs...................... the approximate price of the goods detained. and court-fee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to be paid by the defendant as damages for the detention of goods aforesaid, or the delivery of the said goods.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