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ENFORCEMENT OF A CHARGE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plaintiff is the father of defendants.................... and he transferred his property equally among them by way of an oral family settlement, with a condition that both of them will pay Rs..................... /- each to the plaintiff for his maintenance throughout the remainder of his life.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defendants for the first six months paid regularly the aforesaid charge, but later on have ceased to pay anything to the plaintiff for the last three months, and have now flatly refused to pay anything to him.</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the defendants have been in possession of the settled shares of the properties of the plaintiff allotted to them as mentioned at the foot of the plaint.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cause of action arose on.................... 19.................... when the defendants refused to pay the aforesaid charge on the properties transferred to them by way of family settlement aforesaid, and this Court has jurisdiction to decide the suit.</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suit is valued at.................... rupees, the valuation of the yearly charge on the properties, and.................... rupees for obtaining possession of the properties from the defendants in the alternative, and court fee is paid according to the nature of the reliefs claimed. RELIEFS CLAIMED: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plaintiff claims: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payment of Rs..................... /- the amount of the charge on the properties for one year from both the defendants in equal shares of Rs..................... each</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alternative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possession of the properties in the hands of the defendants with the charge for three months due, i.e., Rs.....................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