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EVICTION OF A LICENSEE AND FOR DAMAGES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gave his house No..................... situate at.................... town.................... for two months from.................... 19.................... to have the function of marriage ceremony of his daughter. The defendant being a friend of the plaintiff and a very near acquaintance of his.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after the expiry of two months aforesaid, the defendant did not vacate the house, and on demand from the plaintiff, the defendant alleged his tenancy therein.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on.................... 19.................... the plaintiff gave a registered notice to the defendant terminating his licence and to deliver vacant possession of the house to the plaintiff forthwith. This notice was received by the defendant on.................... 19.................... to which he replied alleging his tenancy again. This reply was received by the plaintiff on....................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term of licence in favour of the defendant expired, and secondly when the plaintiff terminated the licence through the registered notice and lastly on.................... 19 .................... when the plaintiff received the reply of the defendant denying any licence but alleging tenancy in his favour.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for jurisdiction as well as for court fee purposes and court fee is paid according to the reliefs claimed: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possession of the house abovementioned to be delivered to the plaintiff by the defendant;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mesne profits at the rate of Rs..................... per month from the date of filing the suit till delivery of possession.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