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FORECLOSURE OF SALE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plaintiff is the mortgagee of lands belonging to the defendant.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following are the particulars of the mortgage: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(date;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(names of mortgagor and mortgagee);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(sum secured);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(rate of interest);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(property subject to mortgage);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(amount now due);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 (if the plaintiffs title is derivative, state shortly the transfers or devolution under which he claims).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plaintiff is mortgagee in possession, add).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plaintiff took possession of the mortgaged property on the .................... day of.................... and is ready to account as mortgagee in possession from that time.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Cause of action arose on.................... 19.................... when the defendant failed to restore the money of mortgage with interest at the notice of the plaintiff received by the defendant on.................... 19....................</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suit is valued at Rs..................... which is the market value of the property and court fee is paid accordingly to the nature of the reliefs claimed.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