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INJUNCTION RESTRAINING NUISANCE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and at all the times hereinafter mentioned was, the absolute owner of the house No...................... Street.....................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is, and at all the said times was, the absolute owner of a plot of ground in the same street....................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the.................... day of.................... 19..................... the defendant erected upon his said plot a slaughter-house, and still maintains the same; and from that day until the present time has continually caused cattle to be brought and killed there and has caused the blood and offal to be thrown into the street opposite the said house of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 consequence, the plaintiff has been compelled to abandon the said house, and has been unable to rent the same.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gave a registered notice to the defendant to restrain himself from committing the nuisance, to which he did not reply. The notice was received by him on....................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Cause of action arose within the jurisdiction of this court on.................... 19.................... when the defendant received notice of the 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suit is valued at Rs..................... twelve times of the rent at which the house of the plaintiff was formerly let, and court fee for injunction is paid accordingly.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that the defendant be restrained by injunction from committing or permitting any further nuisance.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