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SUIT FOR PRICE OF GOODS AGAINST THE PRINCIPAL AND THE SURETY BOTH.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The Plaintiff supplied goods worth Rs..................... to defendant No. 1 on credit on the verbal guarantee given by the defendant No. 2 that if the defendant would fail to pay for them, the defendant No. 2 would pay therefor.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That the defendant No. 1 did not pay for the goods and the plaintiff gave written intimation to both the defendants to pay for the goods within a week after the receipt of the bill, this letter was received by defendant No. 1 on.................... and by defendant No. 2 on.............. but neither of them has paid the amount so far.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That cause of action has arisen on.................... 19.................... when the defendants failed to pay for the goods given on credit within a week after receipt of the bill aforesaid.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That the suit is valued at Rs...................... the price of the goods given on credit and court fee is paid according to the reliefs claimed. liable.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That the defendants Nos. 1 and 2 are jointly and severally liable.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plaintiff claims: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Payment of Rs..................... with Rs..................... as interest on the amount up to the date of filing the suit.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Future interest from the date of the suit to the date of the payment thereof.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Through Advocate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Plaintiff</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ATTACHMENT OF SALARY OF GUARANTOR — REPAYMENT OF TEMPORARY LOAN NOT EXEMPT.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Section 60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case of attachment of salary of guarantor the repayment of temporary advance taken from GPF is not exempt and cannot be excluded.1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Smt. Florence Mabel R. J. v. State of Kerala, AIR 2001 Kerala 19.</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