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WRONGFUL DISTURBANCE CAUSED BY LANDLORD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took a Building No..................... situate at.................... in town.................... the boundaries of which are given below, on.................... 19 .................... through a registered lease deed for ten years on a monthly rent of Rs. .................... to run a.................... School therein.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set up some machines of Printing Press in the adjacent building No..................... in the month of.................... 19.................... in the same locality, the working of which machines and the personnel of the defendant create great noise and disturbance in the teachings and studies of the teachers and students of the institution of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gave registered notice to the defendant to stop the nuisance forthwith and for damages caused thereby upto date at the rate of Rs. .................... per month, which notice was received by the defendant on.................... 19.................... The defendant has denied his liability through his reply received by the plaintiff on.................... and has asserted his right to do 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defendant began to work on the printing machines in the adjacent building, and lastly on.................... when the plaintiff received the reply of the defendant denying his duty to stop the nuisance and to pay damages claimed by the plaintiff.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for the purpose of jurisdiction, and Rs..................... for the purpose of payment of court fee and court fee is paid according to the 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defendant may be restrained by issue of a permanent mandatory injunction for ten years the period of tenancy of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restraining the defendant from committing or continuing any nuisance as the present one which disturbs the teachers and students of the institution of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payment of damages at the rate of Rs..................... per month caused by the defendant to the plaintiff upto date.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04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