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EJECTMENT AND MESNE PROFITS ON EXPIRY OF THE TERM OF TENANCY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let out his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Kothi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situate at.................... to the defendant for a fixed period of eleven months from.................... 19.................... to.................... 19..................... at a monthly rent of Rs..................... and the whole rent for the period was paid in advance on.................... 19....................</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term aforesaid has expired but the defendant has not vacated the Kothi abovementioned.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cause of action arose on.................... 19.................... when the term of tenancy expired, and this court has jurisdiction to decide the matter.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is valued at Rs..................... the twelve times of the monthly rent for the purpose of jurisdiction and Rs,.................... for purpose of court-fee.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Eviction of the defendant from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Kothi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aforementioned and delivery of possession thereof to the plaintiff.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Mesne profits after the expiry of the term of tenancy upto date of filing the suit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andpendente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till possession is delivered to the plaintiff.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