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EJECTMENT ON DETERMINATION OF TENANCY BY NOTICE: AND FOR MESNE ROFITS WITH ARREARS OF RENT ALREADY FALLEN DUE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let out two rooms to the defendant, one verandah and a kitchen on the ground floor of house No..................... situate at.................... street in.................... on.................... 19.................... on amonthly rent of 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did not pay any rent since.................... 19.................... uptodate, and he was served a notice of demand and termination of tenancy on .................... 19.................... but he has still neither vacated the house nor paid the arrears of rent.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cause of action arose on.................... 19.................... when notice was served upon the defendant, and this Court has jurisdiction to decide the matter.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suit is valued at.................... rupees for the purpose of jurisdiction and Rs..................... for the purpose of payment of court fee. Court fee Rs..................... is paid on the relief of eviction and for possession and Rs..................... on the relief of recovery of arrears of rent.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payment of Rs..................... as the arrears of rent and mesne profits after determination of the tenancy.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eviction of the defendant from the house mentioned above; and possession thereof to the plaintiff.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