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SPECIFIC PERFORMANCE TO SELL GOODS AGREED TO BE SOLD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defendant agreed on.................... 19.................... through a written agreement, to sell his manuscript written by him on.................... for Rs. .................... (.................... ) on tendering the said amount by the plaintiff through a bank draft.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plaintiff sent a Bank draft of Rs..................... drawn on .................... Bank.................... to the defendant with instructions to send the manuscript by registered post, under registered cover, which was received by the defendant on.................... 19....................</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defendant has not sent the manuscript as promised but has returned the bank draft sent by the plaintiff to him.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manuscript abovementioned is a scarce article, and the plaintiff has already spent Rs..................... on its advertisement before publication and has received.................... orders with advance money paid therefor, and if the manuscript is not delivered to the plaintiff the plaintiff would suffer a loss of Rs..................... in business besides the loss of the rare article aforesaid.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cause of action arose on.................... 19.................... when the plaintiff received back his bank draft aforesaid and the manuscript of the book was not sent to him by the defendant, and this Court has jurisdiction to decide the matter.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suit is valued at Rs..................... the price of the manuscript and court-fee is paid according to the reliefs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the following reliefs: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mandatory injunction to the defendant may be issued to deliver the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manuscript on the aforesaid subject to the plaintiff; for the consideration aforesaid to be received.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payment of Rs..................... as damages for the undue delay being caused in the delivery of the manuscript aforesaid.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Plaintiff’s suit for specific performance should not have been dismissed by Courts below on ground of want of title but in the facts of the case plaintiff can be compensated only by a decree of compensation in lieu of specific performance.1</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Executing Court has power to direct delivery of possession of property to decree holder even if decree for specific performance of contract is silent on that point.2</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reading of plaint and conduct of the plaintiff leads to an inference that he was ready and willing to perform his part of contract then Court can take into consideration of such conduct with regard to readiness and willingness on part of plaintiff.3</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plea as to ready and willing to perform his part of the contract is not available to a subsequent purchaser.4</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V. Muthusami v. Angammal, 2002 (1) CCC 227 (SC).</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Mohd. Yakub s/o Mohd. Ishaq v. Abdul Rauf s/o Abdul Kareem, 2002 (2) CCC 216 (M. P.).</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V. Udaya Kumar v. L. Navaneethammal, 2002 (2) CCC 173 (Mad.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Baldev Singh v. Chhota Singh, AIR 2002 P&amp;H 47.</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