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plaintiff and the defendant entered into an agreement, in writing, and the original document is hereto annexed. The defendant was absolutely entitled to the immovable property described in the agreement.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the.................... day of.................... 19..................... the plaintiff tendered.................... rupees to the defendant, and demanded a transfer of the said property by a sufficient instrument.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the.................... day of.................... 19..................... the plaintiff again demanded such transfer, (or the defendant refused to transfer the same to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defendant has not executed any instrument of transfer.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plaintiff is still ready and willing to pay the purchase-money of the said property to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Cause of action arose on.................... 19.................... when the defendant refused to transfer the property to the plaintiff, and this Court has jurisdiction to try 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suit is valued at Rs..................... the agreed consideration of the transfer aforesaid.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to transfer the said property to the plaintiff by a sufficient instrument (following the terms of the agreement);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rupees compensation for withholding the same.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