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06E" w:rsidRDefault="0061006E"/>
    <w:p w:rsidR="0061006E" w:rsidRDefault="0061006E" w:rsidP="0061006E">
      <w:pPr>
        <w:jc w:val="center"/>
      </w:pPr>
      <w:r>
        <w:t>Project 1</w:t>
      </w:r>
    </w:p>
    <w:p w:rsidR="0061006E" w:rsidRDefault="0061006E" w:rsidP="0061006E">
      <w:pPr>
        <w:jc w:val="center"/>
      </w:pPr>
      <w:r>
        <w:t xml:space="preserve">Adriano </w:t>
      </w:r>
      <w:proofErr w:type="spellStart"/>
      <w:r>
        <w:t>Maron</w:t>
      </w:r>
      <w:proofErr w:type="spellEnd"/>
      <w:r>
        <w:t xml:space="preserve">, </w:t>
      </w:r>
      <w:proofErr w:type="spellStart"/>
      <w:r>
        <w:t>Ankita</w:t>
      </w:r>
      <w:proofErr w:type="spellEnd"/>
      <w:r>
        <w:t xml:space="preserve"> </w:t>
      </w:r>
      <w:proofErr w:type="spellStart"/>
      <w:r>
        <w:t>Mohapatra</w:t>
      </w:r>
      <w:proofErr w:type="spellEnd"/>
      <w:r>
        <w:t>, and Matt Barren</w:t>
      </w:r>
    </w:p>
    <w:p w:rsidR="0061006E" w:rsidRDefault="0061006E" w:rsidP="0061006E"/>
    <w:p w:rsidR="0061006E" w:rsidRPr="00466219" w:rsidRDefault="0061006E" w:rsidP="0061006E">
      <w:pPr>
        <w:rPr>
          <w:b/>
          <w:u w:val="single"/>
        </w:rPr>
      </w:pPr>
      <w:r w:rsidRPr="00466219">
        <w:rPr>
          <w:b/>
          <w:u w:val="single"/>
        </w:rPr>
        <w:t>Introduction</w:t>
      </w:r>
    </w:p>
    <w:p w:rsidR="0061006E" w:rsidRPr="005B2F68" w:rsidRDefault="005B2F68" w:rsidP="0061006E">
      <w:pPr>
        <w:rPr>
          <w:i/>
        </w:rPr>
      </w:pPr>
      <w:r>
        <w:t xml:space="preserve">The processor programmed for this project implements a hybrid of the PowerPC 604 and 620 utilizing a number of the </w:t>
      </w:r>
      <w:r w:rsidR="006A7EED">
        <w:t>specifications, such as delaying loads to avoid read after write hazards</w:t>
      </w:r>
      <w:r>
        <w:t xml:space="preserve"> with stores. </w:t>
      </w:r>
      <w:r w:rsidR="006A7EED">
        <w:t xml:space="preserve"> </w:t>
      </w:r>
      <w:r w:rsidR="00EA40D5">
        <w:t>The program for this processor was developed in Java.</w:t>
      </w:r>
    </w:p>
    <w:p w:rsidR="0061006E" w:rsidRDefault="0061006E" w:rsidP="0061006E">
      <w:pPr>
        <w:rPr>
          <w:b/>
          <w:i/>
        </w:rPr>
      </w:pPr>
    </w:p>
    <w:p w:rsidR="005B2F68" w:rsidRDefault="0061006E" w:rsidP="0061006E">
      <w:pPr>
        <w:rPr>
          <w:b/>
          <w:u w:val="single"/>
        </w:rPr>
      </w:pPr>
      <w:r w:rsidRPr="00466219">
        <w:rPr>
          <w:b/>
          <w:u w:val="single"/>
        </w:rPr>
        <w:t>Assumptions</w:t>
      </w:r>
    </w:p>
    <w:p w:rsidR="0061006E" w:rsidRPr="005B2F68" w:rsidRDefault="005B2F68" w:rsidP="0061006E">
      <w:r>
        <w:t xml:space="preserve">Since the programmed processor is not utilizing the same resources as the 604 and 620 PowerPC, there were several assumptions that had to be developed. Additionally, </w:t>
      </w:r>
      <w:r w:rsidR="00831D84">
        <w:t>there are certain aspects that were not specified in the documentation of the 604 and 620 PowerPC, and therefore an assumption was made to handle these situations.</w:t>
      </w:r>
    </w:p>
    <w:p w:rsidR="00DD05BA" w:rsidRPr="00DD05BA" w:rsidRDefault="00DD05BA" w:rsidP="00DD05BA">
      <w:pPr>
        <w:pStyle w:val="ListParagraph"/>
        <w:numPr>
          <w:ilvl w:val="0"/>
          <w:numId w:val="1"/>
        </w:numPr>
        <w:rPr>
          <w:b/>
          <w:u w:val="single"/>
        </w:rPr>
      </w:pPr>
      <w:r>
        <w:t>Register File – All registers are initially zero</w:t>
      </w:r>
    </w:p>
    <w:p w:rsidR="002165EE" w:rsidRPr="002165EE" w:rsidRDefault="00DD05BA" w:rsidP="00DD05BA">
      <w:pPr>
        <w:pStyle w:val="ListParagraph"/>
        <w:numPr>
          <w:ilvl w:val="0"/>
          <w:numId w:val="1"/>
        </w:numPr>
        <w:rPr>
          <w:b/>
          <w:u w:val="single"/>
        </w:rPr>
      </w:pPr>
      <w:r>
        <w:t>Memory Locations – memory is stored in a hash map. Therefore, if a load occurs on a memory location that does not exist it will produce a null value. In this instance, the load value returned will be zero.</w:t>
      </w:r>
    </w:p>
    <w:p w:rsidR="00677999" w:rsidRPr="00677999" w:rsidRDefault="002165EE" w:rsidP="00DD05BA">
      <w:pPr>
        <w:pStyle w:val="ListParagraph"/>
        <w:numPr>
          <w:ilvl w:val="0"/>
          <w:numId w:val="1"/>
        </w:numPr>
        <w:rPr>
          <w:b/>
          <w:u w:val="single"/>
        </w:rPr>
      </w:pPr>
      <w:proofErr w:type="spellStart"/>
      <w:r>
        <w:t>Writeback</w:t>
      </w:r>
      <w:proofErr w:type="spellEnd"/>
      <w:r>
        <w:t xml:space="preserve"> and Commit – Since write back and commit share the same set of buses, there is a conflict between the use of the bus for each stage. In order to avoid an imbalance, priority alternates between committing values and writing values back. When one stage cannot fill all of the available bus positions, then the other stage is allowed to add values onto the bus.</w:t>
      </w:r>
    </w:p>
    <w:p w:rsidR="002165EE" w:rsidRPr="002165EE" w:rsidRDefault="00677999" w:rsidP="00DD05BA">
      <w:pPr>
        <w:pStyle w:val="ListParagraph"/>
        <w:numPr>
          <w:ilvl w:val="0"/>
          <w:numId w:val="1"/>
        </w:numPr>
        <w:rPr>
          <w:b/>
          <w:u w:val="single"/>
        </w:rPr>
      </w:pPr>
      <w:r>
        <w:t>Load Store Ordering – Loads and stores effective addresses are calculated in order, to avoid potential read after write hazards.</w:t>
      </w:r>
    </w:p>
    <w:p w:rsidR="003A0972" w:rsidRPr="00DD05BA" w:rsidRDefault="000F59E3" w:rsidP="00DD05BA">
      <w:pPr>
        <w:pStyle w:val="ListParagraph"/>
        <w:numPr>
          <w:ilvl w:val="0"/>
          <w:numId w:val="1"/>
        </w:numPr>
        <w:rPr>
          <w:b/>
          <w:u w:val="single"/>
        </w:rPr>
      </w:pPr>
      <w:r>
        <w:t xml:space="preserve">Branch History Table - The branch history table does not evict previous branches when </w:t>
      </w:r>
      <w:r w:rsidR="00B46A51">
        <w:t>a new branch conflicts with an already existing branch. Instead, the BHT retains those branches that were entered into the table when a vacant position was available.</w:t>
      </w:r>
    </w:p>
    <w:p w:rsidR="003A0972" w:rsidRDefault="003A0972" w:rsidP="0061006E">
      <w:pPr>
        <w:rPr>
          <w:b/>
          <w:u w:val="single"/>
        </w:rPr>
      </w:pPr>
    </w:p>
    <w:p w:rsidR="0061006E" w:rsidRPr="00466219" w:rsidRDefault="0061006E" w:rsidP="0061006E">
      <w:pPr>
        <w:rPr>
          <w:b/>
          <w:u w:val="single"/>
        </w:rPr>
      </w:pPr>
    </w:p>
    <w:p w:rsidR="00677999" w:rsidRDefault="00677999" w:rsidP="0061006E">
      <w:pPr>
        <w:rPr>
          <w:b/>
          <w:u w:val="single"/>
        </w:rPr>
        <w:sectPr w:rsidR="00677999">
          <w:headerReference w:type="default" r:id="rId5"/>
          <w:pgSz w:w="12240" w:h="15840"/>
          <w:pgMar w:top="1440" w:right="1800" w:bottom="1440" w:left="1800" w:gutter="0"/>
        </w:sectPr>
      </w:pPr>
    </w:p>
    <w:p w:rsidR="0061006E" w:rsidRPr="00466219" w:rsidRDefault="0061006E" w:rsidP="0061006E">
      <w:pPr>
        <w:rPr>
          <w:b/>
          <w:u w:val="single"/>
        </w:rPr>
      </w:pPr>
      <w:r w:rsidRPr="00466219">
        <w:rPr>
          <w:b/>
          <w:u w:val="single"/>
        </w:rPr>
        <w:t>Implementation</w:t>
      </w:r>
    </w:p>
    <w:p w:rsidR="009A5863" w:rsidRDefault="003A0972" w:rsidP="0061006E">
      <w:r>
        <w:t>In J</w:t>
      </w:r>
      <w:r w:rsidR="002165EE">
        <w:t>ava classes were developed for stages</w:t>
      </w:r>
      <w:r>
        <w:t xml:space="preserve"> and data structures, such as branch history table and reorder buffer. </w:t>
      </w:r>
      <w:r w:rsidR="009A5863">
        <w:t>Below is a list of the different stages and data structures created:</w:t>
      </w:r>
    </w:p>
    <w:tbl>
      <w:tblPr>
        <w:tblStyle w:val="TableGrid"/>
        <w:tblW w:w="0" w:type="auto"/>
        <w:tblLook w:val="00BF"/>
      </w:tblPr>
      <w:tblGrid>
        <w:gridCol w:w="4428"/>
        <w:gridCol w:w="4428"/>
      </w:tblGrid>
      <w:tr w:rsidR="009A5863">
        <w:tc>
          <w:tcPr>
            <w:tcW w:w="4428" w:type="dxa"/>
          </w:tcPr>
          <w:p w:rsidR="009A5863" w:rsidRDefault="009A5863" w:rsidP="009A5863">
            <w:pPr>
              <w:jc w:val="center"/>
            </w:pPr>
            <w:r>
              <w:t>Stages</w:t>
            </w:r>
          </w:p>
        </w:tc>
        <w:tc>
          <w:tcPr>
            <w:tcW w:w="4428" w:type="dxa"/>
          </w:tcPr>
          <w:p w:rsidR="009A5863" w:rsidRDefault="009A5863" w:rsidP="009A5863">
            <w:pPr>
              <w:jc w:val="center"/>
            </w:pPr>
            <w:r>
              <w:t>Data Structures</w:t>
            </w:r>
          </w:p>
        </w:tc>
      </w:tr>
      <w:tr w:rsidR="009A5863">
        <w:tc>
          <w:tcPr>
            <w:tcW w:w="4428" w:type="dxa"/>
          </w:tcPr>
          <w:p w:rsidR="009A5863" w:rsidRDefault="009A5863" w:rsidP="009A5863">
            <w:pPr>
              <w:pStyle w:val="ListParagraph"/>
              <w:numPr>
                <w:ilvl w:val="0"/>
                <w:numId w:val="4"/>
              </w:numPr>
            </w:pPr>
            <w:r>
              <w:t>Fetch</w:t>
            </w:r>
          </w:p>
          <w:p w:rsidR="009A5863" w:rsidRDefault="009A5863" w:rsidP="009A5863">
            <w:pPr>
              <w:pStyle w:val="ListParagraph"/>
              <w:numPr>
                <w:ilvl w:val="0"/>
                <w:numId w:val="4"/>
              </w:numPr>
            </w:pPr>
            <w:r>
              <w:t>Decode</w:t>
            </w:r>
          </w:p>
          <w:p w:rsidR="009A5863" w:rsidRDefault="009A5863" w:rsidP="009A5863">
            <w:pPr>
              <w:pStyle w:val="ListParagraph"/>
              <w:numPr>
                <w:ilvl w:val="0"/>
                <w:numId w:val="4"/>
              </w:numPr>
            </w:pPr>
            <w:r>
              <w:t>Issue</w:t>
            </w:r>
          </w:p>
          <w:p w:rsidR="009A5863" w:rsidRDefault="009A5863" w:rsidP="009A5863">
            <w:pPr>
              <w:pStyle w:val="ListParagraph"/>
              <w:numPr>
                <w:ilvl w:val="0"/>
                <w:numId w:val="4"/>
              </w:numPr>
            </w:pPr>
            <w:r>
              <w:t>Execute</w:t>
            </w:r>
          </w:p>
          <w:p w:rsidR="009A5863" w:rsidRPr="009A5863" w:rsidRDefault="009A5863" w:rsidP="009A5863">
            <w:pPr>
              <w:pStyle w:val="ListParagraph"/>
              <w:numPr>
                <w:ilvl w:val="0"/>
                <w:numId w:val="4"/>
              </w:numPr>
            </w:pPr>
            <w:r>
              <w:t>Functional Unit (</w:t>
            </w:r>
            <w:r>
              <w:rPr>
                <w:i/>
              </w:rPr>
              <w:t>the following extend Functional Unit)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098"/>
              <w:gridCol w:w="2099"/>
            </w:tblGrid>
            <w:tr w:rsidR="009A5863">
              <w:tc>
                <w:tcPr>
                  <w:tcW w:w="2098" w:type="dxa"/>
                </w:tcPr>
                <w:p w:rsidR="009A5863" w:rsidRDefault="009A5863" w:rsidP="009A5863">
                  <w:pPr>
                    <w:pStyle w:val="ListParagraph"/>
                    <w:numPr>
                      <w:ilvl w:val="1"/>
                      <w:numId w:val="4"/>
                    </w:numPr>
                  </w:pPr>
                  <w:r>
                    <w:t>BU</w:t>
                  </w:r>
                </w:p>
                <w:p w:rsidR="009A5863" w:rsidRDefault="009A5863" w:rsidP="009A5863">
                  <w:pPr>
                    <w:pStyle w:val="ListParagraph"/>
                    <w:numPr>
                      <w:ilvl w:val="1"/>
                      <w:numId w:val="4"/>
                    </w:numPr>
                  </w:pPr>
                  <w:r>
                    <w:t>FPU</w:t>
                  </w:r>
                </w:p>
                <w:p w:rsidR="009A5863" w:rsidRDefault="009A5863" w:rsidP="009A5863">
                  <w:pPr>
                    <w:pStyle w:val="ListParagraph"/>
                    <w:numPr>
                      <w:ilvl w:val="1"/>
                      <w:numId w:val="4"/>
                    </w:numPr>
                  </w:pPr>
                  <w:r>
                    <w:t>Int0</w:t>
                  </w:r>
                </w:p>
              </w:tc>
              <w:tc>
                <w:tcPr>
                  <w:tcW w:w="2099" w:type="dxa"/>
                </w:tcPr>
                <w:p w:rsidR="009A5863" w:rsidRDefault="009A5863" w:rsidP="009A5863">
                  <w:pPr>
                    <w:pStyle w:val="ListParagraph"/>
                    <w:numPr>
                      <w:ilvl w:val="1"/>
                      <w:numId w:val="4"/>
                    </w:numPr>
                  </w:pPr>
                  <w:r>
                    <w:t>Int1</w:t>
                  </w:r>
                </w:p>
                <w:p w:rsidR="009A5863" w:rsidRDefault="009A5863" w:rsidP="009A5863">
                  <w:pPr>
                    <w:pStyle w:val="ListParagraph"/>
                    <w:numPr>
                      <w:ilvl w:val="1"/>
                      <w:numId w:val="4"/>
                    </w:numPr>
                  </w:pPr>
                  <w:r>
                    <w:t>LSU</w:t>
                  </w:r>
                </w:p>
                <w:p w:rsidR="009A5863" w:rsidRDefault="009A5863" w:rsidP="009A5863">
                  <w:pPr>
                    <w:pStyle w:val="ListParagraph"/>
                    <w:numPr>
                      <w:ilvl w:val="1"/>
                      <w:numId w:val="4"/>
                    </w:numPr>
                  </w:pPr>
                  <w:r>
                    <w:t>MULT</w:t>
                  </w:r>
                </w:p>
              </w:tc>
            </w:tr>
          </w:tbl>
          <w:p w:rsidR="009A5863" w:rsidRDefault="009A5863" w:rsidP="009A5863">
            <w:pPr>
              <w:pStyle w:val="ListParagraph"/>
              <w:numPr>
                <w:ilvl w:val="0"/>
                <w:numId w:val="5"/>
              </w:numPr>
            </w:pPr>
            <w:r>
              <w:t>Write Result</w:t>
            </w:r>
            <w:r w:rsidR="00FE4246">
              <w:t xml:space="preserve"> (encapsulates both </w:t>
            </w:r>
            <w:proofErr w:type="spellStart"/>
            <w:r w:rsidR="00FE4246">
              <w:t>writeback</w:t>
            </w:r>
            <w:proofErr w:type="spellEnd"/>
            <w:r w:rsidR="00FE4246">
              <w:t xml:space="preserve"> and commit stages)</w:t>
            </w:r>
          </w:p>
        </w:tc>
        <w:tc>
          <w:tcPr>
            <w:tcW w:w="4428" w:type="dxa"/>
          </w:tcPr>
          <w:p w:rsidR="00FE4246" w:rsidRDefault="00FE4246" w:rsidP="009A5863">
            <w:pPr>
              <w:pStyle w:val="ListParagraph"/>
              <w:numPr>
                <w:ilvl w:val="0"/>
                <w:numId w:val="3"/>
              </w:numPr>
            </w:pPr>
            <w:r>
              <w:t>BHT</w:t>
            </w:r>
          </w:p>
          <w:p w:rsidR="00FE4246" w:rsidRDefault="00FE4246" w:rsidP="009A5863">
            <w:pPr>
              <w:pStyle w:val="ListParagraph"/>
              <w:numPr>
                <w:ilvl w:val="0"/>
                <w:numId w:val="3"/>
              </w:numPr>
            </w:pPr>
            <w:r>
              <w:t>CDB</w:t>
            </w:r>
          </w:p>
          <w:p w:rsidR="00FE4246" w:rsidRDefault="00FE4246" w:rsidP="009A5863">
            <w:pPr>
              <w:pStyle w:val="ListParagraph"/>
              <w:numPr>
                <w:ilvl w:val="0"/>
                <w:numId w:val="3"/>
              </w:numPr>
            </w:pPr>
            <w:r>
              <w:t>Instruction</w:t>
            </w:r>
          </w:p>
          <w:p w:rsidR="00FE4246" w:rsidRDefault="00FE4246" w:rsidP="009A5863">
            <w:pPr>
              <w:pStyle w:val="ListParagraph"/>
              <w:numPr>
                <w:ilvl w:val="0"/>
                <w:numId w:val="3"/>
              </w:numPr>
            </w:pPr>
            <w:r>
              <w:t>Instruction Cache</w:t>
            </w:r>
          </w:p>
          <w:p w:rsidR="00FE4246" w:rsidRDefault="00FE4246" w:rsidP="009A5863">
            <w:pPr>
              <w:pStyle w:val="ListParagraph"/>
              <w:numPr>
                <w:ilvl w:val="0"/>
                <w:numId w:val="3"/>
              </w:numPr>
            </w:pPr>
            <w:r>
              <w:t>Memory</w:t>
            </w:r>
          </w:p>
          <w:p w:rsidR="00FE4246" w:rsidRDefault="00FE4246" w:rsidP="009A5863">
            <w:pPr>
              <w:pStyle w:val="ListParagraph"/>
              <w:numPr>
                <w:ilvl w:val="0"/>
                <w:numId w:val="3"/>
              </w:numPr>
            </w:pPr>
            <w:r>
              <w:t>PC</w:t>
            </w:r>
          </w:p>
          <w:p w:rsidR="00FE4246" w:rsidRDefault="00FE4246" w:rsidP="009A5863">
            <w:pPr>
              <w:pStyle w:val="ListParagraph"/>
              <w:numPr>
                <w:ilvl w:val="0"/>
                <w:numId w:val="3"/>
              </w:numPr>
            </w:pPr>
            <w:proofErr w:type="spellStart"/>
            <w:r>
              <w:t>RegFile</w:t>
            </w:r>
            <w:proofErr w:type="spellEnd"/>
          </w:p>
          <w:p w:rsidR="00FE4246" w:rsidRDefault="00FE4246" w:rsidP="009A5863">
            <w:pPr>
              <w:pStyle w:val="ListParagraph"/>
              <w:numPr>
                <w:ilvl w:val="0"/>
                <w:numId w:val="3"/>
              </w:numPr>
            </w:pPr>
            <w:proofErr w:type="spellStart"/>
            <w:r>
              <w:t>RegStatus</w:t>
            </w:r>
            <w:proofErr w:type="spellEnd"/>
          </w:p>
          <w:p w:rsidR="00FE4246" w:rsidRDefault="00FE4246" w:rsidP="009A5863">
            <w:pPr>
              <w:pStyle w:val="ListParagraph"/>
              <w:numPr>
                <w:ilvl w:val="0"/>
                <w:numId w:val="3"/>
              </w:numPr>
            </w:pPr>
            <w:proofErr w:type="spellStart"/>
            <w:r>
              <w:t>ROBStatus</w:t>
            </w:r>
            <w:proofErr w:type="spellEnd"/>
          </w:p>
          <w:p w:rsidR="00FE4246" w:rsidRDefault="00FE4246" w:rsidP="009A5863">
            <w:pPr>
              <w:pStyle w:val="ListParagraph"/>
              <w:numPr>
                <w:ilvl w:val="0"/>
                <w:numId w:val="3"/>
              </w:numPr>
            </w:pPr>
            <w:r>
              <w:t xml:space="preserve">Station –retains necessary information for an instruction at a given station, such as </w:t>
            </w:r>
            <w:proofErr w:type="spellStart"/>
            <w:r>
              <w:t>Vj</w:t>
            </w:r>
            <w:proofErr w:type="spellEnd"/>
            <w:r>
              <w:t xml:space="preserve">, </w:t>
            </w:r>
            <w:proofErr w:type="spellStart"/>
            <w:r>
              <w:t>Vk</w:t>
            </w:r>
            <w:proofErr w:type="spellEnd"/>
            <w:r>
              <w:t>, and destination.</w:t>
            </w:r>
          </w:p>
          <w:p w:rsidR="009A5863" w:rsidRDefault="00FE4246" w:rsidP="00FE4246">
            <w:pPr>
              <w:pStyle w:val="ListParagraph"/>
              <w:numPr>
                <w:ilvl w:val="0"/>
                <w:numId w:val="3"/>
              </w:numPr>
            </w:pPr>
            <w:r>
              <w:t>Status – retains information about the status of the instruction from when it is issued to when it is committed.</w:t>
            </w:r>
          </w:p>
        </w:tc>
      </w:tr>
    </w:tbl>
    <w:p w:rsidR="009A5863" w:rsidRDefault="009A5863" w:rsidP="0061006E"/>
    <w:p w:rsidR="000F59E3" w:rsidRDefault="002165EE" w:rsidP="0061006E">
      <w:r>
        <w:t xml:space="preserve">Since the code is programmed in a linear fashion, the simulation starts with the very last stage, commitment, and continues to call </w:t>
      </w:r>
      <w:r w:rsidR="00FE4246">
        <w:t>stages until</w:t>
      </w:r>
      <w:r w:rsidR="000F59E3">
        <w:t xml:space="preserve"> the first stage. This process is one full cycle. The iteration of the program stops when all of the following conditions are met:</w:t>
      </w:r>
    </w:p>
    <w:p w:rsidR="000F59E3" w:rsidRDefault="000F59E3" w:rsidP="000F59E3">
      <w:pPr>
        <w:pStyle w:val="ListParagraph"/>
        <w:numPr>
          <w:ilvl w:val="0"/>
          <w:numId w:val="2"/>
        </w:numPr>
      </w:pPr>
      <w:r>
        <w:t>Fetch queue is empty</w:t>
      </w:r>
    </w:p>
    <w:p w:rsidR="000F59E3" w:rsidRDefault="000F59E3" w:rsidP="000F59E3">
      <w:pPr>
        <w:pStyle w:val="ListParagraph"/>
        <w:numPr>
          <w:ilvl w:val="0"/>
          <w:numId w:val="2"/>
        </w:numPr>
      </w:pPr>
      <w:r>
        <w:t>Decode queue is empty</w:t>
      </w:r>
    </w:p>
    <w:p w:rsidR="000F59E3" w:rsidRDefault="000F59E3" w:rsidP="000F59E3">
      <w:pPr>
        <w:pStyle w:val="ListParagraph"/>
        <w:numPr>
          <w:ilvl w:val="0"/>
          <w:numId w:val="2"/>
        </w:numPr>
      </w:pPr>
      <w:r>
        <w:t>Execute does not have any instructions</w:t>
      </w:r>
    </w:p>
    <w:p w:rsidR="000F59E3" w:rsidRDefault="000F59E3" w:rsidP="000F59E3">
      <w:pPr>
        <w:pStyle w:val="ListParagraph"/>
        <w:numPr>
          <w:ilvl w:val="0"/>
          <w:numId w:val="2"/>
        </w:numPr>
      </w:pPr>
      <w:r>
        <w:t xml:space="preserve">ROB </w:t>
      </w:r>
      <w:r w:rsidR="00FE4246">
        <w:t>is empty (no ROB units are busy)</w:t>
      </w:r>
    </w:p>
    <w:p w:rsidR="000F59E3" w:rsidRDefault="000F59E3" w:rsidP="000F59E3">
      <w:r>
        <w:t>These conditions allow for the simulator to continue to commit, write</w:t>
      </w:r>
      <w:r w:rsidR="00FE4246">
        <w:t>,</w:t>
      </w:r>
      <w:r>
        <w:t xml:space="preserve"> dispatch, and issue a program as long as there are more instructions to execute.</w:t>
      </w:r>
    </w:p>
    <w:p w:rsidR="00B46A51" w:rsidRPr="00D740E7" w:rsidRDefault="00B46A51" w:rsidP="0061006E"/>
    <w:p w:rsidR="0061006E" w:rsidRPr="00466219" w:rsidRDefault="0061006E" w:rsidP="0061006E">
      <w:pPr>
        <w:rPr>
          <w:b/>
          <w:u w:val="single"/>
        </w:rPr>
      </w:pPr>
    </w:p>
    <w:p w:rsidR="00466219" w:rsidRPr="00466219" w:rsidRDefault="00466219" w:rsidP="0061006E">
      <w:pPr>
        <w:rPr>
          <w:b/>
          <w:u w:val="single"/>
        </w:rPr>
      </w:pPr>
      <w:r w:rsidRPr="00466219">
        <w:rPr>
          <w:b/>
          <w:u w:val="single"/>
        </w:rPr>
        <w:t xml:space="preserve">Analysis and </w:t>
      </w:r>
      <w:r w:rsidR="0061006E" w:rsidRPr="00466219">
        <w:rPr>
          <w:b/>
          <w:u w:val="single"/>
        </w:rPr>
        <w:t>Results</w:t>
      </w:r>
    </w:p>
    <w:p w:rsidR="00466219" w:rsidRDefault="00466219" w:rsidP="0061006E">
      <w:pPr>
        <w:rPr>
          <w:b/>
          <w:i/>
        </w:rPr>
      </w:pPr>
    </w:p>
    <w:p w:rsidR="00EA40D5" w:rsidRDefault="00EA40D5" w:rsidP="00191B74">
      <w:pPr>
        <w:rPr>
          <w:rFonts w:ascii="Times" w:hAnsi="Times" w:cs="Times"/>
          <w:i/>
          <w:color w:val="191919"/>
          <w:sz w:val="26"/>
          <w:szCs w:val="26"/>
        </w:rPr>
      </w:pPr>
      <w:r>
        <w:rPr>
          <w:rFonts w:ascii="Times" w:hAnsi="Times" w:cs="Times"/>
          <w:i/>
          <w:color w:val="191919"/>
          <w:sz w:val="26"/>
          <w:szCs w:val="26"/>
        </w:rPr>
        <w:t>Parameter Settings NW=NB=NC=2</w:t>
      </w:r>
    </w:p>
    <w:p w:rsidR="00D351A3" w:rsidRDefault="001C11E8" w:rsidP="00191B74">
      <w:pPr>
        <w:rPr>
          <w:rFonts w:ascii="Times" w:hAnsi="Times" w:cs="Times"/>
          <w:color w:val="191919"/>
          <w:sz w:val="26"/>
          <w:szCs w:val="26"/>
        </w:rPr>
      </w:pPr>
      <w:r>
        <w:rPr>
          <w:rFonts w:ascii="Times" w:hAnsi="Times" w:cs="Times"/>
          <w:color w:val="191919"/>
          <w:sz w:val="26"/>
          <w:szCs w:val="26"/>
        </w:rPr>
        <w:t>Setting the issue, buses, and commits to a value of two creates a bottleneck at issue, write back, and commitment because these stages cannot remove the instructions off of the decode and fetch queue at the same rate as their potential of four instructions per a cycle. In addition, the functional units in the execution stage have more valu</w:t>
      </w:r>
      <w:r w:rsidR="00D351A3">
        <w:rPr>
          <w:rFonts w:ascii="Times" w:hAnsi="Times" w:cs="Times"/>
          <w:color w:val="191919"/>
          <w:sz w:val="26"/>
          <w:szCs w:val="26"/>
        </w:rPr>
        <w:t>es waiting to be sent to write back</w:t>
      </w:r>
      <w:r>
        <w:rPr>
          <w:rFonts w:ascii="Times" w:hAnsi="Times" w:cs="Times"/>
          <w:color w:val="191919"/>
          <w:sz w:val="26"/>
          <w:szCs w:val="26"/>
        </w:rPr>
        <w:t>. This is due to having</w:t>
      </w:r>
      <w:r w:rsidR="00D351A3">
        <w:rPr>
          <w:rFonts w:ascii="Times" w:hAnsi="Times" w:cs="Times"/>
          <w:color w:val="191919"/>
          <w:sz w:val="26"/>
          <w:szCs w:val="26"/>
        </w:rPr>
        <w:t xml:space="preserve"> many more execution stages than</w:t>
      </w:r>
      <w:r>
        <w:rPr>
          <w:rFonts w:ascii="Times" w:hAnsi="Times" w:cs="Times"/>
          <w:color w:val="191919"/>
          <w:sz w:val="26"/>
          <w:szCs w:val="26"/>
        </w:rPr>
        <w:t xml:space="preserve"> could potentially be ready for write back, but the buses can only accept two at a time </w:t>
      </w:r>
    </w:p>
    <w:p w:rsidR="00D351A3" w:rsidRPr="00EA40D5" w:rsidRDefault="00D351A3" w:rsidP="00191B74">
      <w:pPr>
        <w:rPr>
          <w:rFonts w:ascii="Times" w:hAnsi="Times" w:cs="Times"/>
          <w:color w:val="191919"/>
          <w:sz w:val="26"/>
          <w:szCs w:val="26"/>
        </w:rPr>
      </w:pPr>
      <w:r>
        <w:rPr>
          <w:rFonts w:ascii="Times" w:hAnsi="Times" w:cs="Times"/>
          <w:color w:val="191919"/>
          <w:sz w:val="26"/>
          <w:szCs w:val="26"/>
        </w:rPr>
        <w:t>A high CPI resulted from the inefficient transfer of instructions from issue to future portions of the pipeline. This can be observed from the values below</w:t>
      </w:r>
    </w:p>
    <w:tbl>
      <w:tblPr>
        <w:tblW w:w="8764"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6"/>
        <w:gridCol w:w="1353"/>
        <w:gridCol w:w="1442"/>
        <w:gridCol w:w="1442"/>
        <w:gridCol w:w="1442"/>
        <w:gridCol w:w="1539"/>
      </w:tblGrid>
      <w:tr w:rsidR="00D351A3" w:rsidRPr="00D351A3">
        <w:trPr>
          <w:trHeight w:val="260"/>
        </w:trPr>
        <w:tc>
          <w:tcPr>
            <w:tcW w:w="1546" w:type="dxa"/>
          </w:tcPr>
          <w:p w:rsidR="00D351A3" w:rsidRPr="00D351A3" w:rsidRDefault="00D351A3" w:rsidP="00D351A3">
            <w:pPr>
              <w:rPr>
                <w:rFonts w:ascii="Verdana" w:hAnsi="Verdana"/>
                <w:sz w:val="20"/>
                <w:szCs w:val="20"/>
              </w:rPr>
            </w:pPr>
          </w:p>
        </w:tc>
        <w:tc>
          <w:tcPr>
            <w:tcW w:w="1353"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CPI</w:t>
            </w:r>
          </w:p>
        </w:tc>
        <w:tc>
          <w:tcPr>
            <w:tcW w:w="1442"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Total Stalls</w:t>
            </w:r>
          </w:p>
        </w:tc>
        <w:tc>
          <w:tcPr>
            <w:tcW w:w="1442"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ROB Stalls</w:t>
            </w:r>
          </w:p>
        </w:tc>
        <w:tc>
          <w:tcPr>
            <w:tcW w:w="1442"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RS Stalls</w:t>
            </w:r>
          </w:p>
        </w:tc>
        <w:tc>
          <w:tcPr>
            <w:tcW w:w="1539" w:type="dxa"/>
            <w:shd w:val="clear" w:color="auto" w:fill="auto"/>
            <w:noWrap/>
            <w:vAlign w:val="bottom"/>
          </w:tcPr>
          <w:p w:rsidR="00D351A3" w:rsidRPr="00D351A3" w:rsidRDefault="00D351A3" w:rsidP="00D351A3">
            <w:pPr>
              <w:rPr>
                <w:rFonts w:ascii="Verdana" w:hAnsi="Verdana"/>
                <w:sz w:val="20"/>
                <w:szCs w:val="20"/>
              </w:rPr>
            </w:pPr>
            <w:proofErr w:type="spellStart"/>
            <w:r w:rsidRPr="00D351A3">
              <w:rPr>
                <w:rFonts w:ascii="Verdana" w:hAnsi="Verdana"/>
                <w:sz w:val="20"/>
                <w:szCs w:val="20"/>
              </w:rPr>
              <w:t>Mispredict</w:t>
            </w:r>
            <w:r>
              <w:rPr>
                <w:rFonts w:ascii="Verdana" w:hAnsi="Verdana"/>
                <w:sz w:val="20"/>
                <w:szCs w:val="20"/>
              </w:rPr>
              <w:t>ion</w:t>
            </w:r>
            <w:proofErr w:type="spellEnd"/>
            <w:r w:rsidRPr="00D351A3">
              <w:rPr>
                <w:rFonts w:ascii="Verdana" w:hAnsi="Verdana"/>
                <w:sz w:val="20"/>
                <w:szCs w:val="20"/>
              </w:rPr>
              <w:t xml:space="preserve"> Rate</w:t>
            </w:r>
          </w:p>
        </w:tc>
      </w:tr>
      <w:tr w:rsidR="00D351A3" w:rsidRPr="00D351A3">
        <w:trPr>
          <w:trHeight w:val="260"/>
        </w:trPr>
        <w:tc>
          <w:tcPr>
            <w:tcW w:w="1546" w:type="dxa"/>
          </w:tcPr>
          <w:p w:rsidR="00D351A3" w:rsidRPr="00D351A3" w:rsidRDefault="00D351A3" w:rsidP="00D351A3">
            <w:pPr>
              <w:jc w:val="right"/>
              <w:rPr>
                <w:rFonts w:ascii="Verdana" w:hAnsi="Verdana"/>
                <w:sz w:val="20"/>
                <w:szCs w:val="20"/>
              </w:rPr>
            </w:pPr>
            <w:r>
              <w:rPr>
                <w:rFonts w:ascii="Verdana" w:hAnsi="Verdana"/>
                <w:sz w:val="20"/>
                <w:szCs w:val="20"/>
              </w:rPr>
              <w:t>Benchmark 1</w:t>
            </w:r>
          </w:p>
        </w:tc>
        <w:tc>
          <w:tcPr>
            <w:tcW w:w="1353"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1.6756756</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2</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2</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w:t>
            </w:r>
          </w:p>
        </w:tc>
      </w:tr>
      <w:tr w:rsidR="00D351A3" w:rsidRPr="00D351A3">
        <w:trPr>
          <w:trHeight w:val="260"/>
        </w:trPr>
        <w:tc>
          <w:tcPr>
            <w:tcW w:w="154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2</w:t>
            </w:r>
          </w:p>
        </w:tc>
        <w:tc>
          <w:tcPr>
            <w:tcW w:w="1353"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1.3181819</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0.42857143</w:t>
            </w:r>
          </w:p>
        </w:tc>
      </w:tr>
      <w:tr w:rsidR="00D351A3" w:rsidRPr="00D351A3">
        <w:trPr>
          <w:trHeight w:val="260"/>
        </w:trPr>
        <w:tc>
          <w:tcPr>
            <w:tcW w:w="154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3</w:t>
            </w:r>
          </w:p>
        </w:tc>
        <w:tc>
          <w:tcPr>
            <w:tcW w:w="1353"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1.9166666</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13</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13</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0.42857143</w:t>
            </w:r>
          </w:p>
        </w:tc>
      </w:tr>
      <w:tr w:rsidR="00D351A3" w:rsidRPr="00D351A3">
        <w:trPr>
          <w:trHeight w:val="260"/>
        </w:trPr>
        <w:tc>
          <w:tcPr>
            <w:tcW w:w="154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4</w:t>
            </w:r>
          </w:p>
        </w:tc>
        <w:tc>
          <w:tcPr>
            <w:tcW w:w="1353"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1.1666666</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21</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21</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0.75</w:t>
            </w:r>
          </w:p>
        </w:tc>
      </w:tr>
      <w:tr w:rsidR="00D351A3" w:rsidRPr="00D351A3">
        <w:trPr>
          <w:trHeight w:val="260"/>
        </w:trPr>
        <w:tc>
          <w:tcPr>
            <w:tcW w:w="154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5</w:t>
            </w:r>
          </w:p>
        </w:tc>
        <w:tc>
          <w:tcPr>
            <w:tcW w:w="1353"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1.9714285</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442"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w:t>
            </w:r>
          </w:p>
        </w:tc>
      </w:tr>
    </w:tbl>
    <w:p w:rsidR="00EA40D5" w:rsidRPr="00EA40D5" w:rsidRDefault="00EA40D5" w:rsidP="00191B74">
      <w:pPr>
        <w:rPr>
          <w:rFonts w:ascii="Times" w:hAnsi="Times" w:cs="Times"/>
          <w:color w:val="191919"/>
          <w:sz w:val="26"/>
          <w:szCs w:val="26"/>
        </w:rPr>
      </w:pPr>
    </w:p>
    <w:p w:rsidR="00EA40D5" w:rsidRDefault="00EA40D5" w:rsidP="00191B74">
      <w:pPr>
        <w:rPr>
          <w:rFonts w:ascii="Times" w:hAnsi="Times" w:cs="Times"/>
          <w:i/>
          <w:color w:val="191919"/>
          <w:sz w:val="26"/>
          <w:szCs w:val="26"/>
        </w:rPr>
      </w:pPr>
      <w:r>
        <w:rPr>
          <w:rFonts w:ascii="Times" w:hAnsi="Times" w:cs="Times"/>
          <w:i/>
          <w:color w:val="191919"/>
          <w:sz w:val="26"/>
          <w:szCs w:val="26"/>
        </w:rPr>
        <w:t>Parameter Settings NW=NR=NC=4, NF=ND=2, NQ=NI=4</w:t>
      </w:r>
    </w:p>
    <w:p w:rsidR="00D351A3" w:rsidRDefault="00D351A3" w:rsidP="00191B74">
      <w:pPr>
        <w:rPr>
          <w:rFonts w:ascii="Times" w:hAnsi="Times" w:cs="Times"/>
          <w:color w:val="191919"/>
          <w:sz w:val="26"/>
          <w:szCs w:val="26"/>
        </w:rPr>
      </w:pPr>
      <w:r>
        <w:rPr>
          <w:rFonts w:ascii="Times" w:hAnsi="Times" w:cs="Times"/>
          <w:color w:val="191919"/>
          <w:sz w:val="26"/>
          <w:szCs w:val="26"/>
        </w:rPr>
        <w:t>For this setting, the greatest issue is</w:t>
      </w:r>
      <w:r w:rsidR="00C44373">
        <w:rPr>
          <w:rFonts w:ascii="Times" w:hAnsi="Times" w:cs="Times"/>
          <w:color w:val="191919"/>
          <w:sz w:val="26"/>
          <w:szCs w:val="26"/>
        </w:rPr>
        <w:t xml:space="preserve"> the number of reorder buffers clearly plays as the bottleneck. Limiting the quantity of reorder buffers to four implies that only four instructions can be operated at once. In a CPU with six different functional units, there will always be at least two units that are not being utilized. The CPI was marginally better than the previous setting because the issue, write back, and commit were able to move more instructions through the pipeline in each cycle.</w:t>
      </w:r>
    </w:p>
    <w:tbl>
      <w:tblPr>
        <w:tblW w:w="8764"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6"/>
        <w:gridCol w:w="1350"/>
        <w:gridCol w:w="1357"/>
        <w:gridCol w:w="1441"/>
        <w:gridCol w:w="1441"/>
        <w:gridCol w:w="1539"/>
      </w:tblGrid>
      <w:tr w:rsidR="00D351A3" w:rsidRPr="00D351A3" w:rsidTr="00C44373">
        <w:trPr>
          <w:trHeight w:val="260"/>
        </w:trPr>
        <w:tc>
          <w:tcPr>
            <w:tcW w:w="1636" w:type="dxa"/>
          </w:tcPr>
          <w:p w:rsidR="00D351A3" w:rsidRPr="00D351A3" w:rsidRDefault="00D351A3" w:rsidP="00D351A3">
            <w:pPr>
              <w:rPr>
                <w:rFonts w:ascii="Verdana" w:hAnsi="Verdana"/>
                <w:sz w:val="20"/>
                <w:szCs w:val="20"/>
              </w:rPr>
            </w:pPr>
          </w:p>
        </w:tc>
        <w:tc>
          <w:tcPr>
            <w:tcW w:w="1350"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CPI</w:t>
            </w:r>
          </w:p>
        </w:tc>
        <w:tc>
          <w:tcPr>
            <w:tcW w:w="1357"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Total Stalls</w:t>
            </w:r>
          </w:p>
        </w:tc>
        <w:tc>
          <w:tcPr>
            <w:tcW w:w="1441"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ROB Stalls</w:t>
            </w:r>
          </w:p>
        </w:tc>
        <w:tc>
          <w:tcPr>
            <w:tcW w:w="1441" w:type="dxa"/>
            <w:shd w:val="clear" w:color="auto" w:fill="auto"/>
            <w:noWrap/>
            <w:vAlign w:val="bottom"/>
          </w:tcPr>
          <w:p w:rsidR="00D351A3" w:rsidRPr="00D351A3" w:rsidRDefault="00D351A3" w:rsidP="00D351A3">
            <w:pPr>
              <w:rPr>
                <w:rFonts w:ascii="Verdana" w:hAnsi="Verdana"/>
                <w:sz w:val="20"/>
                <w:szCs w:val="20"/>
              </w:rPr>
            </w:pPr>
            <w:r w:rsidRPr="00D351A3">
              <w:rPr>
                <w:rFonts w:ascii="Verdana" w:hAnsi="Verdana"/>
                <w:sz w:val="20"/>
                <w:szCs w:val="20"/>
              </w:rPr>
              <w:t>RS Stalls</w:t>
            </w:r>
          </w:p>
        </w:tc>
        <w:tc>
          <w:tcPr>
            <w:tcW w:w="1539" w:type="dxa"/>
            <w:shd w:val="clear" w:color="auto" w:fill="auto"/>
            <w:noWrap/>
            <w:vAlign w:val="bottom"/>
          </w:tcPr>
          <w:p w:rsidR="00D351A3" w:rsidRPr="00D351A3" w:rsidRDefault="00C44373" w:rsidP="00D351A3">
            <w:pPr>
              <w:rPr>
                <w:rFonts w:ascii="Verdana" w:hAnsi="Verdana"/>
                <w:sz w:val="20"/>
                <w:szCs w:val="20"/>
              </w:rPr>
            </w:pPr>
            <w:proofErr w:type="spellStart"/>
            <w:r>
              <w:rPr>
                <w:rFonts w:ascii="Verdana" w:hAnsi="Verdana"/>
                <w:sz w:val="20"/>
                <w:szCs w:val="20"/>
              </w:rPr>
              <w:t>Mispredict</w:t>
            </w:r>
            <w:r w:rsidR="00D351A3">
              <w:rPr>
                <w:rFonts w:ascii="Verdana" w:hAnsi="Verdana"/>
                <w:sz w:val="20"/>
                <w:szCs w:val="20"/>
              </w:rPr>
              <w:t>ion</w:t>
            </w:r>
            <w:proofErr w:type="spellEnd"/>
            <w:r w:rsidR="00D351A3">
              <w:rPr>
                <w:rFonts w:ascii="Verdana" w:hAnsi="Verdana"/>
                <w:sz w:val="20"/>
                <w:szCs w:val="20"/>
              </w:rPr>
              <w:t xml:space="preserve"> </w:t>
            </w:r>
            <w:r w:rsidR="00D351A3" w:rsidRPr="00D351A3">
              <w:rPr>
                <w:rFonts w:ascii="Verdana" w:hAnsi="Verdana"/>
                <w:sz w:val="20"/>
                <w:szCs w:val="20"/>
              </w:rPr>
              <w:t>Rate</w:t>
            </w:r>
          </w:p>
        </w:tc>
      </w:tr>
      <w:tr w:rsidR="00D351A3" w:rsidRPr="00D351A3" w:rsidTr="00C44373">
        <w:trPr>
          <w:trHeight w:val="260"/>
        </w:trPr>
        <w:tc>
          <w:tcPr>
            <w:tcW w:w="163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1</w:t>
            </w:r>
          </w:p>
        </w:tc>
        <w:tc>
          <w:tcPr>
            <w:tcW w:w="1350"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1.6</w:t>
            </w:r>
          </w:p>
        </w:tc>
        <w:tc>
          <w:tcPr>
            <w:tcW w:w="1357"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28</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28</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w:t>
            </w:r>
          </w:p>
        </w:tc>
      </w:tr>
      <w:tr w:rsidR="00D351A3" w:rsidRPr="00D351A3" w:rsidTr="00C44373">
        <w:trPr>
          <w:trHeight w:val="260"/>
        </w:trPr>
        <w:tc>
          <w:tcPr>
            <w:tcW w:w="163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2</w:t>
            </w:r>
          </w:p>
        </w:tc>
        <w:tc>
          <w:tcPr>
            <w:tcW w:w="1350"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1.35</w:t>
            </w:r>
          </w:p>
        </w:tc>
        <w:tc>
          <w:tcPr>
            <w:tcW w:w="1357"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74</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74</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0.42857143</w:t>
            </w:r>
          </w:p>
        </w:tc>
      </w:tr>
      <w:tr w:rsidR="00D351A3" w:rsidRPr="00D351A3" w:rsidTr="00C44373">
        <w:trPr>
          <w:trHeight w:val="260"/>
        </w:trPr>
        <w:tc>
          <w:tcPr>
            <w:tcW w:w="163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3</w:t>
            </w:r>
          </w:p>
        </w:tc>
        <w:tc>
          <w:tcPr>
            <w:tcW w:w="1350"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1.3548387</w:t>
            </w:r>
          </w:p>
        </w:tc>
        <w:tc>
          <w:tcPr>
            <w:tcW w:w="1357"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31</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31</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0.42857143</w:t>
            </w:r>
          </w:p>
        </w:tc>
      </w:tr>
      <w:tr w:rsidR="00D351A3" w:rsidRPr="00D351A3" w:rsidTr="00C44373">
        <w:trPr>
          <w:trHeight w:val="260"/>
        </w:trPr>
        <w:tc>
          <w:tcPr>
            <w:tcW w:w="163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4</w:t>
            </w:r>
          </w:p>
        </w:tc>
        <w:tc>
          <w:tcPr>
            <w:tcW w:w="1350"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1.3417722</w:t>
            </w:r>
          </w:p>
        </w:tc>
        <w:tc>
          <w:tcPr>
            <w:tcW w:w="1357"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43</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43</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0.75</w:t>
            </w:r>
          </w:p>
        </w:tc>
      </w:tr>
      <w:tr w:rsidR="00D351A3" w:rsidRPr="00D351A3" w:rsidTr="00C44373">
        <w:trPr>
          <w:trHeight w:val="260"/>
        </w:trPr>
        <w:tc>
          <w:tcPr>
            <w:tcW w:w="1636" w:type="dxa"/>
          </w:tcPr>
          <w:p w:rsidR="00D351A3" w:rsidRPr="00D351A3" w:rsidRDefault="00D351A3" w:rsidP="00D351A3">
            <w:pPr>
              <w:spacing w:before="2" w:after="2"/>
              <w:jc w:val="right"/>
              <w:rPr>
                <w:rFonts w:ascii="Verdana" w:hAnsi="Verdana"/>
                <w:sz w:val="20"/>
                <w:szCs w:val="20"/>
              </w:rPr>
            </w:pPr>
            <w:r>
              <w:rPr>
                <w:rFonts w:ascii="Verdana" w:hAnsi="Verdana"/>
                <w:sz w:val="20"/>
                <w:szCs w:val="20"/>
              </w:rPr>
              <w:t>Benchmark 5</w:t>
            </w:r>
          </w:p>
        </w:tc>
        <w:tc>
          <w:tcPr>
            <w:tcW w:w="1350"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1.6883117</w:t>
            </w:r>
          </w:p>
        </w:tc>
        <w:tc>
          <w:tcPr>
            <w:tcW w:w="1357"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72</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72</w:t>
            </w:r>
          </w:p>
        </w:tc>
        <w:tc>
          <w:tcPr>
            <w:tcW w:w="1441"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D351A3" w:rsidRPr="00D351A3" w:rsidRDefault="00D351A3" w:rsidP="00D351A3">
            <w:pPr>
              <w:jc w:val="right"/>
              <w:rPr>
                <w:rFonts w:ascii="Verdana" w:hAnsi="Verdana"/>
                <w:sz w:val="20"/>
                <w:szCs w:val="20"/>
              </w:rPr>
            </w:pPr>
            <w:r w:rsidRPr="00D351A3">
              <w:rPr>
                <w:rFonts w:ascii="Verdana" w:hAnsi="Verdana"/>
                <w:sz w:val="20"/>
                <w:szCs w:val="20"/>
              </w:rPr>
              <w:t>1</w:t>
            </w:r>
          </w:p>
        </w:tc>
      </w:tr>
    </w:tbl>
    <w:p w:rsidR="00D351A3" w:rsidRDefault="00D351A3" w:rsidP="00191B74">
      <w:pPr>
        <w:rPr>
          <w:rFonts w:ascii="Times" w:hAnsi="Times" w:cs="Times"/>
          <w:color w:val="191919"/>
          <w:sz w:val="26"/>
          <w:szCs w:val="26"/>
        </w:rPr>
      </w:pPr>
    </w:p>
    <w:p w:rsidR="00EA40D5" w:rsidRPr="00EA40D5" w:rsidRDefault="00EA40D5" w:rsidP="00191B74">
      <w:pPr>
        <w:rPr>
          <w:rFonts w:ascii="Times" w:hAnsi="Times" w:cs="Times"/>
          <w:color w:val="191919"/>
          <w:sz w:val="26"/>
          <w:szCs w:val="26"/>
        </w:rPr>
      </w:pPr>
    </w:p>
    <w:p w:rsidR="00D351A3" w:rsidRDefault="00EA40D5" w:rsidP="00191B74">
      <w:pPr>
        <w:rPr>
          <w:rFonts w:ascii="Times" w:hAnsi="Times" w:cs="Times"/>
          <w:i/>
          <w:color w:val="191919"/>
          <w:sz w:val="26"/>
          <w:szCs w:val="26"/>
        </w:rPr>
      </w:pPr>
      <w:r>
        <w:rPr>
          <w:rFonts w:ascii="Times" w:hAnsi="Times" w:cs="Times"/>
          <w:i/>
          <w:color w:val="191919"/>
          <w:sz w:val="26"/>
          <w:szCs w:val="26"/>
        </w:rPr>
        <w:t>Para</w:t>
      </w:r>
      <w:r w:rsidR="00C44373">
        <w:rPr>
          <w:rFonts w:ascii="Times" w:hAnsi="Times" w:cs="Times"/>
          <w:i/>
          <w:color w:val="191919"/>
          <w:sz w:val="26"/>
          <w:szCs w:val="26"/>
        </w:rPr>
        <w:t xml:space="preserve">meter Settings NW=NB=NC=NF=ND=4, NR=16, </w:t>
      </w:r>
      <w:r>
        <w:rPr>
          <w:rFonts w:ascii="Times" w:hAnsi="Times" w:cs="Times"/>
          <w:i/>
          <w:color w:val="191919"/>
          <w:sz w:val="26"/>
          <w:szCs w:val="26"/>
        </w:rPr>
        <w:t>and NQ=NI=8</w:t>
      </w:r>
    </w:p>
    <w:p w:rsidR="00D351A3" w:rsidRPr="00C44373" w:rsidRDefault="00C44373" w:rsidP="00191B74">
      <w:pPr>
        <w:rPr>
          <w:rFonts w:ascii="Times" w:hAnsi="Times" w:cs="Times"/>
          <w:color w:val="191919"/>
          <w:sz w:val="26"/>
          <w:szCs w:val="26"/>
        </w:rPr>
      </w:pPr>
      <w:r>
        <w:rPr>
          <w:rFonts w:ascii="Times" w:hAnsi="Times" w:cs="Times"/>
          <w:color w:val="191919"/>
          <w:sz w:val="26"/>
          <w:szCs w:val="26"/>
        </w:rPr>
        <w:t>In this setting, the CPU had its best performance because the of having more space in queues and being able to process more instructions per a cycle. No stalls were incurred in the execution stages, but this would most likely change if there were longer operations occurring more frequently, such as division.</w:t>
      </w:r>
      <w:r w:rsidR="00FC28AB">
        <w:rPr>
          <w:rFonts w:ascii="Times" w:hAnsi="Times" w:cs="Times"/>
          <w:color w:val="191919"/>
          <w:sz w:val="26"/>
          <w:szCs w:val="26"/>
        </w:rPr>
        <w:t xml:space="preserve"> The reorder buffers were the greatest bottleneck because the number of instructions that could be issued in a given cycle exceeded the number of commitments that were taking place.</w:t>
      </w:r>
    </w:p>
    <w:tbl>
      <w:tblPr>
        <w:tblW w:w="8764"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6"/>
        <w:gridCol w:w="1350"/>
        <w:gridCol w:w="1357"/>
        <w:gridCol w:w="1441"/>
        <w:gridCol w:w="1441"/>
        <w:gridCol w:w="1539"/>
      </w:tblGrid>
      <w:tr w:rsidR="00C44373" w:rsidRPr="00D351A3" w:rsidTr="00C44373">
        <w:trPr>
          <w:trHeight w:val="260"/>
        </w:trPr>
        <w:tc>
          <w:tcPr>
            <w:tcW w:w="1636" w:type="dxa"/>
          </w:tcPr>
          <w:p w:rsidR="00C44373" w:rsidRPr="00D351A3" w:rsidRDefault="00C44373" w:rsidP="00D351A3">
            <w:pPr>
              <w:rPr>
                <w:rFonts w:ascii="Verdana" w:hAnsi="Verdana"/>
                <w:sz w:val="20"/>
                <w:szCs w:val="20"/>
              </w:rPr>
            </w:pPr>
          </w:p>
        </w:tc>
        <w:tc>
          <w:tcPr>
            <w:tcW w:w="1350" w:type="dxa"/>
            <w:shd w:val="clear" w:color="auto" w:fill="auto"/>
            <w:noWrap/>
            <w:vAlign w:val="bottom"/>
          </w:tcPr>
          <w:p w:rsidR="00C44373" w:rsidRPr="00D351A3" w:rsidRDefault="00C44373" w:rsidP="00D351A3">
            <w:pPr>
              <w:rPr>
                <w:rFonts w:ascii="Verdana" w:hAnsi="Verdana"/>
                <w:sz w:val="20"/>
                <w:szCs w:val="20"/>
              </w:rPr>
            </w:pPr>
            <w:r w:rsidRPr="00D351A3">
              <w:rPr>
                <w:rFonts w:ascii="Verdana" w:hAnsi="Verdana"/>
                <w:sz w:val="20"/>
                <w:szCs w:val="20"/>
              </w:rPr>
              <w:t>CPI</w:t>
            </w:r>
          </w:p>
        </w:tc>
        <w:tc>
          <w:tcPr>
            <w:tcW w:w="1357" w:type="dxa"/>
            <w:shd w:val="clear" w:color="auto" w:fill="auto"/>
            <w:noWrap/>
            <w:vAlign w:val="bottom"/>
          </w:tcPr>
          <w:p w:rsidR="00C44373" w:rsidRPr="00D351A3" w:rsidRDefault="00C44373" w:rsidP="00D351A3">
            <w:pPr>
              <w:rPr>
                <w:rFonts w:ascii="Verdana" w:hAnsi="Verdana"/>
                <w:sz w:val="20"/>
                <w:szCs w:val="20"/>
              </w:rPr>
            </w:pPr>
            <w:r w:rsidRPr="00D351A3">
              <w:rPr>
                <w:rFonts w:ascii="Verdana" w:hAnsi="Verdana"/>
                <w:sz w:val="20"/>
                <w:szCs w:val="20"/>
              </w:rPr>
              <w:t>Total Stalls</w:t>
            </w:r>
          </w:p>
        </w:tc>
        <w:tc>
          <w:tcPr>
            <w:tcW w:w="1441" w:type="dxa"/>
            <w:shd w:val="clear" w:color="auto" w:fill="auto"/>
            <w:noWrap/>
            <w:vAlign w:val="bottom"/>
          </w:tcPr>
          <w:p w:rsidR="00C44373" w:rsidRPr="00D351A3" w:rsidRDefault="00C44373" w:rsidP="00D351A3">
            <w:pPr>
              <w:rPr>
                <w:rFonts w:ascii="Verdana" w:hAnsi="Verdana"/>
                <w:sz w:val="20"/>
                <w:szCs w:val="20"/>
              </w:rPr>
            </w:pPr>
            <w:r w:rsidRPr="00D351A3">
              <w:rPr>
                <w:rFonts w:ascii="Verdana" w:hAnsi="Verdana"/>
                <w:sz w:val="20"/>
                <w:szCs w:val="20"/>
              </w:rPr>
              <w:t>ROB Stalls</w:t>
            </w:r>
          </w:p>
        </w:tc>
        <w:tc>
          <w:tcPr>
            <w:tcW w:w="1441" w:type="dxa"/>
            <w:shd w:val="clear" w:color="auto" w:fill="auto"/>
            <w:noWrap/>
            <w:vAlign w:val="bottom"/>
          </w:tcPr>
          <w:p w:rsidR="00C44373" w:rsidRPr="00D351A3" w:rsidRDefault="00C44373" w:rsidP="00D351A3">
            <w:pPr>
              <w:rPr>
                <w:rFonts w:ascii="Verdana" w:hAnsi="Verdana"/>
                <w:sz w:val="20"/>
                <w:szCs w:val="20"/>
              </w:rPr>
            </w:pPr>
            <w:r w:rsidRPr="00D351A3">
              <w:rPr>
                <w:rFonts w:ascii="Verdana" w:hAnsi="Verdana"/>
                <w:sz w:val="20"/>
                <w:szCs w:val="20"/>
              </w:rPr>
              <w:t>RS Stalls</w:t>
            </w:r>
          </w:p>
        </w:tc>
        <w:tc>
          <w:tcPr>
            <w:tcW w:w="1539" w:type="dxa"/>
            <w:shd w:val="clear" w:color="auto" w:fill="auto"/>
            <w:noWrap/>
            <w:vAlign w:val="bottom"/>
          </w:tcPr>
          <w:p w:rsidR="00C44373" w:rsidRPr="00D351A3" w:rsidRDefault="00C44373" w:rsidP="00D351A3">
            <w:pPr>
              <w:rPr>
                <w:rFonts w:ascii="Verdana" w:hAnsi="Verdana"/>
                <w:sz w:val="20"/>
                <w:szCs w:val="20"/>
              </w:rPr>
            </w:pPr>
            <w:proofErr w:type="spellStart"/>
            <w:r w:rsidRPr="00D351A3">
              <w:rPr>
                <w:rFonts w:ascii="Verdana" w:hAnsi="Verdana"/>
                <w:sz w:val="20"/>
                <w:szCs w:val="20"/>
              </w:rPr>
              <w:t>Mispredict</w:t>
            </w:r>
            <w:r>
              <w:rPr>
                <w:rFonts w:ascii="Verdana" w:hAnsi="Verdana"/>
                <w:sz w:val="20"/>
                <w:szCs w:val="20"/>
              </w:rPr>
              <w:t>ion</w:t>
            </w:r>
            <w:proofErr w:type="spellEnd"/>
            <w:r w:rsidRPr="00D351A3">
              <w:rPr>
                <w:rFonts w:ascii="Verdana" w:hAnsi="Verdana"/>
                <w:sz w:val="20"/>
                <w:szCs w:val="20"/>
              </w:rPr>
              <w:t xml:space="preserve"> Rate</w:t>
            </w:r>
          </w:p>
        </w:tc>
      </w:tr>
      <w:tr w:rsidR="00C44373" w:rsidRPr="00D351A3" w:rsidTr="00C44373">
        <w:trPr>
          <w:trHeight w:val="260"/>
        </w:trPr>
        <w:tc>
          <w:tcPr>
            <w:tcW w:w="1636" w:type="dxa"/>
          </w:tcPr>
          <w:p w:rsidR="00C44373" w:rsidRPr="00D351A3" w:rsidRDefault="00C44373" w:rsidP="005B6245">
            <w:pPr>
              <w:spacing w:before="2" w:after="2"/>
              <w:jc w:val="right"/>
              <w:rPr>
                <w:rFonts w:ascii="Verdana" w:hAnsi="Verdana"/>
                <w:sz w:val="20"/>
                <w:szCs w:val="20"/>
              </w:rPr>
            </w:pPr>
            <w:r>
              <w:rPr>
                <w:rFonts w:ascii="Verdana" w:hAnsi="Verdana"/>
                <w:sz w:val="20"/>
                <w:szCs w:val="20"/>
              </w:rPr>
              <w:t>Benchmark 1</w:t>
            </w:r>
          </w:p>
        </w:tc>
        <w:tc>
          <w:tcPr>
            <w:tcW w:w="1350"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1.1836735</w:t>
            </w:r>
          </w:p>
        </w:tc>
        <w:tc>
          <w:tcPr>
            <w:tcW w:w="1357"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4</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4</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1</w:t>
            </w:r>
          </w:p>
        </w:tc>
      </w:tr>
      <w:tr w:rsidR="00C44373" w:rsidRPr="00D351A3" w:rsidTr="00C44373">
        <w:trPr>
          <w:trHeight w:val="260"/>
        </w:trPr>
        <w:tc>
          <w:tcPr>
            <w:tcW w:w="1636" w:type="dxa"/>
          </w:tcPr>
          <w:p w:rsidR="00C44373" w:rsidRPr="00D351A3" w:rsidRDefault="00C44373" w:rsidP="005B6245">
            <w:pPr>
              <w:spacing w:before="2" w:after="2"/>
              <w:jc w:val="right"/>
              <w:rPr>
                <w:rFonts w:ascii="Verdana" w:hAnsi="Verdana"/>
                <w:sz w:val="20"/>
                <w:szCs w:val="20"/>
              </w:rPr>
            </w:pPr>
            <w:r>
              <w:rPr>
                <w:rFonts w:ascii="Verdana" w:hAnsi="Verdana"/>
                <w:sz w:val="20"/>
                <w:szCs w:val="20"/>
              </w:rPr>
              <w:t xml:space="preserve">Benchmark </w:t>
            </w:r>
            <w:r>
              <w:rPr>
                <w:rFonts w:ascii="Verdana" w:hAnsi="Verdana"/>
                <w:sz w:val="20"/>
                <w:szCs w:val="20"/>
              </w:rPr>
              <w:t>2</w:t>
            </w:r>
          </w:p>
        </w:tc>
        <w:tc>
          <w:tcPr>
            <w:tcW w:w="1350"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1.0070423</w:t>
            </w:r>
          </w:p>
        </w:tc>
        <w:tc>
          <w:tcPr>
            <w:tcW w:w="1357"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0.42857143</w:t>
            </w:r>
          </w:p>
        </w:tc>
      </w:tr>
      <w:tr w:rsidR="00C44373" w:rsidRPr="00D351A3" w:rsidTr="00C44373">
        <w:trPr>
          <w:trHeight w:val="260"/>
        </w:trPr>
        <w:tc>
          <w:tcPr>
            <w:tcW w:w="1636" w:type="dxa"/>
          </w:tcPr>
          <w:p w:rsidR="00C44373" w:rsidRPr="00D351A3" w:rsidRDefault="00C44373" w:rsidP="005B6245">
            <w:pPr>
              <w:spacing w:before="2" w:after="2"/>
              <w:jc w:val="right"/>
              <w:rPr>
                <w:rFonts w:ascii="Verdana" w:hAnsi="Verdana"/>
                <w:sz w:val="20"/>
                <w:szCs w:val="20"/>
              </w:rPr>
            </w:pPr>
            <w:r>
              <w:rPr>
                <w:rFonts w:ascii="Verdana" w:hAnsi="Verdana"/>
                <w:sz w:val="20"/>
                <w:szCs w:val="20"/>
              </w:rPr>
              <w:t xml:space="preserve">Benchmark </w:t>
            </w:r>
            <w:r>
              <w:rPr>
                <w:rFonts w:ascii="Verdana" w:hAnsi="Verdana"/>
                <w:sz w:val="20"/>
                <w:szCs w:val="20"/>
              </w:rPr>
              <w:t>3</w:t>
            </w:r>
          </w:p>
        </w:tc>
        <w:tc>
          <w:tcPr>
            <w:tcW w:w="1350"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1.4074074</w:t>
            </w:r>
          </w:p>
        </w:tc>
        <w:tc>
          <w:tcPr>
            <w:tcW w:w="1357"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26</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26</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0.5</w:t>
            </w:r>
          </w:p>
        </w:tc>
      </w:tr>
      <w:tr w:rsidR="00C44373" w:rsidRPr="00D351A3" w:rsidTr="00C44373">
        <w:trPr>
          <w:trHeight w:val="260"/>
        </w:trPr>
        <w:tc>
          <w:tcPr>
            <w:tcW w:w="1636" w:type="dxa"/>
          </w:tcPr>
          <w:p w:rsidR="00C44373" w:rsidRPr="00D351A3" w:rsidRDefault="00C44373" w:rsidP="005B6245">
            <w:pPr>
              <w:spacing w:before="2" w:after="2"/>
              <w:jc w:val="right"/>
              <w:rPr>
                <w:rFonts w:ascii="Verdana" w:hAnsi="Verdana"/>
                <w:sz w:val="20"/>
                <w:szCs w:val="20"/>
              </w:rPr>
            </w:pPr>
            <w:r>
              <w:rPr>
                <w:rFonts w:ascii="Verdana" w:hAnsi="Verdana"/>
                <w:sz w:val="20"/>
                <w:szCs w:val="20"/>
              </w:rPr>
              <w:t xml:space="preserve">Benchmark </w:t>
            </w:r>
            <w:r>
              <w:rPr>
                <w:rFonts w:ascii="Verdana" w:hAnsi="Verdana"/>
                <w:sz w:val="20"/>
                <w:szCs w:val="20"/>
              </w:rPr>
              <w:t>4</w:t>
            </w:r>
          </w:p>
        </w:tc>
        <w:tc>
          <w:tcPr>
            <w:tcW w:w="1350"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0.6875</w:t>
            </w:r>
          </w:p>
        </w:tc>
        <w:tc>
          <w:tcPr>
            <w:tcW w:w="1357"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22</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22</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0.75</w:t>
            </w:r>
          </w:p>
        </w:tc>
      </w:tr>
      <w:tr w:rsidR="00C44373" w:rsidRPr="00D351A3" w:rsidTr="00C44373">
        <w:trPr>
          <w:trHeight w:val="260"/>
        </w:trPr>
        <w:tc>
          <w:tcPr>
            <w:tcW w:w="1636" w:type="dxa"/>
          </w:tcPr>
          <w:p w:rsidR="00C44373" w:rsidRPr="00D351A3" w:rsidRDefault="00C44373" w:rsidP="005B6245">
            <w:pPr>
              <w:spacing w:before="2" w:after="2"/>
              <w:jc w:val="right"/>
              <w:rPr>
                <w:rFonts w:ascii="Verdana" w:hAnsi="Verdana"/>
                <w:sz w:val="20"/>
                <w:szCs w:val="20"/>
              </w:rPr>
            </w:pPr>
            <w:r>
              <w:rPr>
                <w:rFonts w:ascii="Verdana" w:hAnsi="Verdana"/>
                <w:sz w:val="20"/>
                <w:szCs w:val="20"/>
              </w:rPr>
              <w:t xml:space="preserve">Benchmark </w:t>
            </w:r>
            <w:r>
              <w:rPr>
                <w:rFonts w:ascii="Verdana" w:hAnsi="Verdana"/>
                <w:sz w:val="20"/>
                <w:szCs w:val="20"/>
              </w:rPr>
              <w:t>5</w:t>
            </w:r>
          </w:p>
        </w:tc>
        <w:tc>
          <w:tcPr>
            <w:tcW w:w="1350"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1.4255319</w:t>
            </w:r>
          </w:p>
        </w:tc>
        <w:tc>
          <w:tcPr>
            <w:tcW w:w="1357"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441"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0</w:t>
            </w:r>
          </w:p>
        </w:tc>
        <w:tc>
          <w:tcPr>
            <w:tcW w:w="1539" w:type="dxa"/>
            <w:shd w:val="clear" w:color="auto" w:fill="auto"/>
            <w:noWrap/>
            <w:vAlign w:val="bottom"/>
          </w:tcPr>
          <w:p w:rsidR="00C44373" w:rsidRPr="00D351A3" w:rsidRDefault="00C44373" w:rsidP="00D351A3">
            <w:pPr>
              <w:jc w:val="right"/>
              <w:rPr>
                <w:rFonts w:ascii="Verdana" w:hAnsi="Verdana"/>
                <w:sz w:val="20"/>
                <w:szCs w:val="20"/>
              </w:rPr>
            </w:pPr>
            <w:r w:rsidRPr="00D351A3">
              <w:rPr>
                <w:rFonts w:ascii="Verdana" w:hAnsi="Verdana"/>
                <w:sz w:val="20"/>
                <w:szCs w:val="20"/>
              </w:rPr>
              <w:t>1</w:t>
            </w:r>
          </w:p>
        </w:tc>
      </w:tr>
    </w:tbl>
    <w:p w:rsidR="00FC28AB" w:rsidRDefault="00FC28AB" w:rsidP="00191B74">
      <w:pPr>
        <w:rPr>
          <w:rFonts w:ascii="Times" w:hAnsi="Times" w:cs="Times"/>
          <w:color w:val="191919"/>
          <w:sz w:val="26"/>
          <w:szCs w:val="26"/>
        </w:rPr>
      </w:pPr>
    </w:p>
    <w:p w:rsidR="00FC28AB" w:rsidRDefault="00FC28AB" w:rsidP="00191B74">
      <w:pPr>
        <w:rPr>
          <w:rFonts w:ascii="Times" w:hAnsi="Times" w:cs="Times"/>
          <w:i/>
          <w:color w:val="191919"/>
          <w:sz w:val="26"/>
          <w:szCs w:val="26"/>
        </w:rPr>
      </w:pPr>
      <w:proofErr w:type="spellStart"/>
      <w:r>
        <w:rPr>
          <w:rFonts w:ascii="Times" w:hAnsi="Times" w:cs="Times"/>
          <w:i/>
          <w:color w:val="191919"/>
          <w:sz w:val="26"/>
          <w:szCs w:val="26"/>
        </w:rPr>
        <w:t>Misprediction</w:t>
      </w:r>
      <w:proofErr w:type="spellEnd"/>
      <w:r>
        <w:rPr>
          <w:rFonts w:ascii="Times" w:hAnsi="Times" w:cs="Times"/>
          <w:i/>
          <w:color w:val="191919"/>
          <w:sz w:val="26"/>
          <w:szCs w:val="26"/>
        </w:rPr>
        <w:t xml:space="preserve"> Rates</w:t>
      </w:r>
    </w:p>
    <w:p w:rsidR="00FC28AB" w:rsidRPr="00FC28AB" w:rsidRDefault="00FC28AB" w:rsidP="00191B74">
      <w:pPr>
        <w:rPr>
          <w:rFonts w:ascii="Times" w:hAnsi="Times" w:cs="Times"/>
          <w:color w:val="191919"/>
          <w:sz w:val="26"/>
          <w:szCs w:val="26"/>
        </w:rPr>
      </w:pPr>
      <w:r>
        <w:rPr>
          <w:rFonts w:ascii="Times" w:hAnsi="Times" w:cs="Times"/>
          <w:color w:val="191919"/>
          <w:sz w:val="26"/>
          <w:szCs w:val="26"/>
        </w:rPr>
        <w:t xml:space="preserve">The </w:t>
      </w:r>
      <w:proofErr w:type="spellStart"/>
      <w:r>
        <w:rPr>
          <w:rFonts w:ascii="Times" w:hAnsi="Times" w:cs="Times"/>
          <w:color w:val="191919"/>
          <w:sz w:val="26"/>
          <w:szCs w:val="26"/>
        </w:rPr>
        <w:t>mispresdiction</w:t>
      </w:r>
      <w:proofErr w:type="spellEnd"/>
      <w:r>
        <w:rPr>
          <w:rFonts w:ascii="Times" w:hAnsi="Times" w:cs="Times"/>
          <w:color w:val="191919"/>
          <w:sz w:val="26"/>
          <w:szCs w:val="26"/>
        </w:rPr>
        <w:t xml:space="preserve"> rate for the branch history table was greater for instruction sets that had more branches. For example, Benchmark 1 branched three times, which was not enough to allow the 2-bit branch prediction to reach a steady state of predictions. In contrast, Benchmark 2 had more iterations, which allowed the two bit predictor perform more correct predictions.</w:t>
      </w:r>
    </w:p>
    <w:p w:rsidR="00677999" w:rsidRDefault="00677999" w:rsidP="00191B74">
      <w:pPr>
        <w:rPr>
          <w:rFonts w:ascii="Times" w:hAnsi="Times" w:cs="Times"/>
          <w:color w:val="191919"/>
          <w:sz w:val="26"/>
          <w:szCs w:val="26"/>
        </w:rPr>
      </w:pPr>
    </w:p>
    <w:p w:rsidR="004D1526" w:rsidRDefault="004D1526" w:rsidP="00191B74">
      <w:pPr>
        <w:rPr>
          <w:rFonts w:ascii="Times" w:hAnsi="Times" w:cs="Times"/>
          <w:i/>
          <w:color w:val="191919"/>
          <w:sz w:val="26"/>
          <w:szCs w:val="26"/>
        </w:rPr>
      </w:pPr>
      <w:r>
        <w:rPr>
          <w:rFonts w:ascii="Times" w:hAnsi="Times" w:cs="Times"/>
          <w:i/>
          <w:color w:val="191919"/>
          <w:sz w:val="26"/>
          <w:szCs w:val="26"/>
        </w:rPr>
        <w:t>Conclusions</w:t>
      </w:r>
    </w:p>
    <w:p w:rsidR="00191B74" w:rsidRPr="004D1526" w:rsidRDefault="004D1526" w:rsidP="00191B74">
      <w:pPr>
        <w:rPr>
          <w:rFonts w:ascii="Times" w:hAnsi="Times" w:cs="Times"/>
          <w:color w:val="191919"/>
          <w:sz w:val="26"/>
          <w:szCs w:val="26"/>
        </w:rPr>
      </w:pPr>
      <w:r>
        <w:rPr>
          <w:rFonts w:ascii="Times" w:hAnsi="Times" w:cs="Times"/>
          <w:color w:val="191919"/>
          <w:sz w:val="26"/>
          <w:szCs w:val="26"/>
        </w:rPr>
        <w:t xml:space="preserve">The </w:t>
      </w:r>
      <w:proofErr w:type="spellStart"/>
      <w:r>
        <w:rPr>
          <w:rFonts w:ascii="Times" w:hAnsi="Times" w:cs="Times"/>
          <w:color w:val="191919"/>
          <w:sz w:val="26"/>
          <w:szCs w:val="26"/>
        </w:rPr>
        <w:t>Tomasulo</w:t>
      </w:r>
      <w:proofErr w:type="spellEnd"/>
      <w:r>
        <w:rPr>
          <w:rFonts w:ascii="Times" w:hAnsi="Times" w:cs="Times"/>
          <w:color w:val="191919"/>
          <w:sz w:val="26"/>
          <w:szCs w:val="26"/>
        </w:rPr>
        <w:t xml:space="preserve"> approach to creating a processor allows for a more efficient execution of programs. This is due to the ability to take advantage of speculation, which allows for instructions to be completed when they are ready with their registers. Speculation also contributes to a lot of additional logic and complexity in order to ensure outputs are equivalent to an in-order processor, while having a more efficient CPI. </w:t>
      </w:r>
    </w:p>
    <w:sectPr w:rsidR="00191B74" w:rsidRPr="004D1526" w:rsidSect="00191B7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1A3" w:rsidRDefault="00D351A3" w:rsidP="0061006E">
    <w:pPr>
      <w:pStyle w:val="Header"/>
      <w:jc w:val="right"/>
    </w:pPr>
    <w:r>
      <w:t>Maron, Mohapatra, Barren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44738"/>
    <w:multiLevelType w:val="hybridMultilevel"/>
    <w:tmpl w:val="C82E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B172B"/>
    <w:multiLevelType w:val="hybridMultilevel"/>
    <w:tmpl w:val="F65CB7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3B5B4BA7"/>
    <w:multiLevelType w:val="hybridMultilevel"/>
    <w:tmpl w:val="1EB6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01A59"/>
    <w:multiLevelType w:val="hybridMultilevel"/>
    <w:tmpl w:val="0246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51441"/>
    <w:multiLevelType w:val="hybridMultilevel"/>
    <w:tmpl w:val="78E0A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006E"/>
    <w:rsid w:val="00077309"/>
    <w:rsid w:val="000F59E3"/>
    <w:rsid w:val="00191B74"/>
    <w:rsid w:val="001C11E8"/>
    <w:rsid w:val="002165EE"/>
    <w:rsid w:val="003A0972"/>
    <w:rsid w:val="00466219"/>
    <w:rsid w:val="004D1526"/>
    <w:rsid w:val="005A255B"/>
    <w:rsid w:val="005B2F68"/>
    <w:rsid w:val="0061006E"/>
    <w:rsid w:val="00677999"/>
    <w:rsid w:val="006A7EED"/>
    <w:rsid w:val="00831D84"/>
    <w:rsid w:val="009A5863"/>
    <w:rsid w:val="00B46A51"/>
    <w:rsid w:val="00BC6FE4"/>
    <w:rsid w:val="00C44373"/>
    <w:rsid w:val="00D351A3"/>
    <w:rsid w:val="00D740E7"/>
    <w:rsid w:val="00DD05BA"/>
    <w:rsid w:val="00EA40D5"/>
    <w:rsid w:val="00FC28AB"/>
    <w:rsid w:val="00FE424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618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1006E"/>
    <w:pPr>
      <w:tabs>
        <w:tab w:val="center" w:pos="4320"/>
        <w:tab w:val="right" w:pos="8640"/>
      </w:tabs>
    </w:pPr>
  </w:style>
  <w:style w:type="character" w:customStyle="1" w:styleId="HeaderChar">
    <w:name w:val="Header Char"/>
    <w:basedOn w:val="DefaultParagraphFont"/>
    <w:link w:val="Header"/>
    <w:uiPriority w:val="99"/>
    <w:semiHidden/>
    <w:rsid w:val="0061006E"/>
  </w:style>
  <w:style w:type="paragraph" w:styleId="Footer">
    <w:name w:val="footer"/>
    <w:basedOn w:val="Normal"/>
    <w:link w:val="FooterChar"/>
    <w:uiPriority w:val="99"/>
    <w:semiHidden/>
    <w:unhideWhenUsed/>
    <w:rsid w:val="0061006E"/>
    <w:pPr>
      <w:tabs>
        <w:tab w:val="center" w:pos="4320"/>
        <w:tab w:val="right" w:pos="8640"/>
      </w:tabs>
    </w:pPr>
  </w:style>
  <w:style w:type="character" w:customStyle="1" w:styleId="FooterChar">
    <w:name w:val="Footer Char"/>
    <w:basedOn w:val="DefaultParagraphFont"/>
    <w:link w:val="Footer"/>
    <w:uiPriority w:val="99"/>
    <w:semiHidden/>
    <w:rsid w:val="0061006E"/>
  </w:style>
  <w:style w:type="paragraph" w:styleId="ListParagraph">
    <w:name w:val="List Paragraph"/>
    <w:basedOn w:val="Normal"/>
    <w:uiPriority w:val="34"/>
    <w:qFormat/>
    <w:rsid w:val="00DD05BA"/>
    <w:pPr>
      <w:ind w:left="720"/>
      <w:contextualSpacing/>
    </w:pPr>
  </w:style>
  <w:style w:type="table" w:styleId="TableGrid">
    <w:name w:val="Table Grid"/>
    <w:basedOn w:val="TableNormal"/>
    <w:rsid w:val="009A58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328210">
      <w:bodyDiv w:val="1"/>
      <w:marLeft w:val="0"/>
      <w:marRight w:val="0"/>
      <w:marTop w:val="0"/>
      <w:marBottom w:val="0"/>
      <w:divBdr>
        <w:top w:val="none" w:sz="0" w:space="0" w:color="auto"/>
        <w:left w:val="none" w:sz="0" w:space="0" w:color="auto"/>
        <w:bottom w:val="none" w:sz="0" w:space="0" w:color="auto"/>
        <w:right w:val="none" w:sz="0" w:space="0" w:color="auto"/>
      </w:divBdr>
    </w:div>
    <w:div w:id="205221618">
      <w:bodyDiv w:val="1"/>
      <w:marLeft w:val="0"/>
      <w:marRight w:val="0"/>
      <w:marTop w:val="0"/>
      <w:marBottom w:val="0"/>
      <w:divBdr>
        <w:top w:val="none" w:sz="0" w:space="0" w:color="auto"/>
        <w:left w:val="none" w:sz="0" w:space="0" w:color="auto"/>
        <w:bottom w:val="none" w:sz="0" w:space="0" w:color="auto"/>
        <w:right w:val="none" w:sz="0" w:space="0" w:color="auto"/>
      </w:divBdr>
    </w:div>
    <w:div w:id="1023901505">
      <w:bodyDiv w:val="1"/>
      <w:marLeft w:val="0"/>
      <w:marRight w:val="0"/>
      <w:marTop w:val="0"/>
      <w:marBottom w:val="0"/>
      <w:divBdr>
        <w:top w:val="none" w:sz="0" w:space="0" w:color="auto"/>
        <w:left w:val="none" w:sz="0" w:space="0" w:color="auto"/>
        <w:bottom w:val="none" w:sz="0" w:space="0" w:color="auto"/>
        <w:right w:val="none" w:sz="0" w:space="0" w:color="auto"/>
      </w:divBdr>
    </w:div>
    <w:div w:id="1814521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845</Words>
  <Characters>4817</Characters>
  <Application>Microsoft Macintosh Word</Application>
  <DocSecurity>0</DocSecurity>
  <Lines>40</Lines>
  <Paragraphs>9</Paragraphs>
  <ScaleCrop>false</ScaleCrop>
  <Company>Virginia Tech</Company>
  <LinksUpToDate>false</LinksUpToDate>
  <CharactersWithSpaces>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Thompson</dc:creator>
  <cp:keywords/>
  <cp:lastModifiedBy>Stacy Thompson</cp:lastModifiedBy>
  <cp:revision>13</cp:revision>
  <dcterms:created xsi:type="dcterms:W3CDTF">2015-10-21T18:32:00Z</dcterms:created>
  <dcterms:modified xsi:type="dcterms:W3CDTF">2015-10-22T02:40:00Z</dcterms:modified>
</cp:coreProperties>
</file>