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B7C" w:rsidRDefault="00D45B7C" w:rsidP="00D45B7C">
      <w:pPr>
        <w:pStyle w:val="Heading1"/>
      </w:pPr>
      <w:r>
        <w:t>Comprehensive Review Compilation: Lung Injury, Prediction, Transplant Criteria, and AI/ML Integration</w:t>
      </w:r>
    </w:p>
    <w:p w:rsidR="00D45B7C" w:rsidRDefault="00D45B7C" w:rsidP="00D45B7C">
      <w:pPr>
        <w:pStyle w:val="Heading2"/>
      </w:pPr>
      <w:r>
        <w:t>1. Narrative Review on Lung Injury: Mechanisms, Biomarkers, and Monitoring</w:t>
      </w:r>
    </w:p>
    <w:p w:rsidR="00D45B7C" w:rsidRDefault="00D45B7C" w:rsidP="00D45B7C">
      <w:pPr>
        <w:pStyle w:val="my-0"/>
      </w:pPr>
      <w:r>
        <w:rPr>
          <w:rStyle w:val="Strong"/>
        </w:rPr>
        <w:t>Abstract</w:t>
      </w:r>
      <w:proofErr w:type="gramStart"/>
      <w:r>
        <w:rPr>
          <w:rStyle w:val="Strong"/>
        </w:rPr>
        <w:t>:</w:t>
      </w:r>
      <w:proofErr w:type="gramEnd"/>
      <w:r>
        <w:br/>
        <w:t>Lung injury is fundamentally linked to the variability, severity, mortality, and prognosis of many respiratory diseases. Effective monitoring is crucial for optimal patient management and better outcomes in lung diseases. This narrative review covers:</w:t>
      </w:r>
    </w:p>
    <w:p w:rsidR="00D45B7C" w:rsidRDefault="00D45B7C" w:rsidP="00D45B7C">
      <w:pPr>
        <w:pStyle w:val="my-0"/>
        <w:numPr>
          <w:ilvl w:val="0"/>
          <w:numId w:val="3"/>
        </w:numPr>
      </w:pPr>
      <w:r>
        <w:t>Acute and chronic respiratory diseases involving significant lung injury.</w:t>
      </w:r>
    </w:p>
    <w:p w:rsidR="00D45B7C" w:rsidRDefault="00D45B7C" w:rsidP="00D45B7C">
      <w:pPr>
        <w:pStyle w:val="my-0"/>
        <w:numPr>
          <w:ilvl w:val="0"/>
          <w:numId w:val="3"/>
        </w:numPr>
      </w:pPr>
      <w:r>
        <w:t>Current clinical tools for assessing lung health.</w:t>
      </w:r>
    </w:p>
    <w:p w:rsidR="00D45B7C" w:rsidRDefault="00D45B7C" w:rsidP="00D45B7C">
      <w:pPr>
        <w:pStyle w:val="my-0"/>
        <w:numPr>
          <w:ilvl w:val="0"/>
          <w:numId w:val="3"/>
        </w:numPr>
      </w:pPr>
      <w:r>
        <w:t>Mechanisms of lung cell death as seen in various respiratory diseases.</w:t>
      </w:r>
    </w:p>
    <w:p w:rsidR="00D45B7C" w:rsidRDefault="00D45B7C" w:rsidP="00D45B7C">
      <w:pPr>
        <w:pStyle w:val="my-0"/>
        <w:numPr>
          <w:ilvl w:val="0"/>
          <w:numId w:val="3"/>
        </w:numPr>
      </w:pPr>
      <w:r>
        <w:t>Newly identified plasma biomarkers—indicative of injury to discrete lung cell types and the pulmonary scaffold.</w:t>
      </w:r>
    </w:p>
    <w:p w:rsidR="00D45B7C" w:rsidRDefault="00D45B7C" w:rsidP="00D45B7C">
      <w:pPr>
        <w:pStyle w:val="my-0"/>
        <w:numPr>
          <w:ilvl w:val="0"/>
          <w:numId w:val="3"/>
        </w:numPr>
      </w:pPr>
      <w:r>
        <w:t>An overview and proposal of an artificial intelligence-based monitoring model, designed to assess disease severity, predict mortality, and enhance prognostication, emphasizing precision and personalized medicine.</w:t>
      </w:r>
    </w:p>
    <w:p w:rsidR="00D45B7C" w:rsidRDefault="00D45B7C" w:rsidP="00D45B7C">
      <w:pPr>
        <w:pStyle w:val="my-0"/>
        <w:ind w:left="720"/>
      </w:pPr>
    </w:p>
    <w:p w:rsidR="00D45B7C" w:rsidRDefault="00D45B7C" w:rsidP="00D45B7C">
      <w:pPr>
        <w:pStyle w:val="my-0"/>
      </w:pPr>
      <w:r>
        <w:rPr>
          <w:rStyle w:val="Strong"/>
        </w:rPr>
        <w:t>Research Paper Access</w:t>
      </w:r>
      <w:proofErr w:type="gramStart"/>
      <w:r>
        <w:rPr>
          <w:rStyle w:val="Strong"/>
        </w:rPr>
        <w:t>:</w:t>
      </w:r>
      <w:proofErr w:type="gramEnd"/>
      <w:r>
        <w:br/>
      </w:r>
      <w:hyperlink r:id="rId6" w:tgtFrame="_blank" w:history="1">
        <w:r>
          <w:rPr>
            <w:rStyle w:val="Hyperlink"/>
          </w:rPr>
          <w:t>https://pmc.ncbi.nlm.nih.gov/articles/PMC11526606/</w:t>
        </w:r>
      </w:hyperlink>
    </w:p>
    <w:p w:rsidR="00D45B7C" w:rsidRDefault="00D45B7C" w:rsidP="00D45B7C">
      <w:pPr>
        <w:pStyle w:val="my-0"/>
      </w:pPr>
    </w:p>
    <w:p w:rsidR="00D45B7C" w:rsidRDefault="00D45B7C" w:rsidP="00D45B7C">
      <w:pPr>
        <w:pStyle w:val="Heading2"/>
      </w:pPr>
      <w:r>
        <w:t>2. Lung Injury Prediction Score (LIPS) and its Utility in ARDS Prognostication</w:t>
      </w:r>
    </w:p>
    <w:p w:rsidR="00D45B7C" w:rsidRDefault="00D45B7C" w:rsidP="00D45B7C">
      <w:pPr>
        <w:pStyle w:val="my-0"/>
      </w:pPr>
      <w:r>
        <w:rPr>
          <w:rStyle w:val="Strong"/>
        </w:rPr>
        <w:t>Abstract</w:t>
      </w:r>
      <w:proofErr w:type="gramStart"/>
      <w:r>
        <w:rPr>
          <w:rStyle w:val="Strong"/>
        </w:rPr>
        <w:t>:</w:t>
      </w:r>
      <w:proofErr w:type="gramEnd"/>
      <w:r>
        <w:br/>
        <w:t>The Lung Injury Prediction Score (LIPS) is valuable for early identification of ventilated patients at high risk for developing acute respiratory distress syndrome (ARDS).</w:t>
      </w:r>
    </w:p>
    <w:p w:rsidR="00D45B7C" w:rsidRDefault="00D45B7C" w:rsidP="00D45B7C">
      <w:pPr>
        <w:pStyle w:val="my-0"/>
        <w:numPr>
          <w:ilvl w:val="0"/>
          <w:numId w:val="4"/>
        </w:numPr>
      </w:pPr>
      <w:r>
        <w:rPr>
          <w:rStyle w:val="Strong"/>
        </w:rPr>
        <w:t>Methodology</w:t>
      </w:r>
      <w:proofErr w:type="gramStart"/>
      <w:r>
        <w:rPr>
          <w:rStyle w:val="Strong"/>
        </w:rPr>
        <w:t>:</w:t>
      </w:r>
      <w:proofErr w:type="gramEnd"/>
      <w:r>
        <w:br/>
        <w:t>Prospective observational study including all ventilated patients (n=268) in a surgical ICU over six months using the Berlin criteria for ARDS.</w:t>
      </w:r>
    </w:p>
    <w:p w:rsidR="00D45B7C" w:rsidRDefault="00D45B7C" w:rsidP="00D45B7C">
      <w:pPr>
        <w:pStyle w:val="my-0"/>
        <w:numPr>
          <w:ilvl w:val="0"/>
          <w:numId w:val="4"/>
        </w:numPr>
      </w:pPr>
      <w:r>
        <w:rPr>
          <w:rStyle w:val="Strong"/>
        </w:rPr>
        <w:t>Findings</w:t>
      </w:r>
      <w:proofErr w:type="gramStart"/>
      <w:r>
        <w:rPr>
          <w:rStyle w:val="Strong"/>
        </w:rPr>
        <w:t>:</w:t>
      </w:r>
      <w:proofErr w:type="gramEnd"/>
      <w:r>
        <w:br/>
        <w:t>Patients who developed ARDS had an average LIPS of 8.8 ± 2.8, vs. 5.4 ± 2.8 for those who did not (p &lt; 0.001).</w:t>
      </w:r>
      <w:r>
        <w:br/>
        <w:t>An ROC area under the curve of 0.79 demonstrates robust predictive power.</w:t>
      </w:r>
      <w:r>
        <w:br/>
        <w:t>For every 1-unit increase in LIPS, odds of ARDS development increase by 1.50 and ICU mortality by 1.22.</w:t>
      </w:r>
    </w:p>
    <w:p w:rsidR="00D45B7C" w:rsidRDefault="00D45B7C" w:rsidP="00D45B7C">
      <w:pPr>
        <w:pStyle w:val="my-0"/>
        <w:numPr>
          <w:ilvl w:val="0"/>
          <w:numId w:val="4"/>
        </w:numPr>
      </w:pPr>
      <w:r>
        <w:rPr>
          <w:rStyle w:val="Strong"/>
        </w:rPr>
        <w:lastRenderedPageBreak/>
        <w:t>Conclusion</w:t>
      </w:r>
      <w:proofErr w:type="gramStart"/>
      <w:r>
        <w:rPr>
          <w:rStyle w:val="Strong"/>
        </w:rPr>
        <w:t>:</w:t>
      </w:r>
      <w:proofErr w:type="gramEnd"/>
      <w:r>
        <w:br/>
        <w:t>LIPS is reliable for predicting both ARDS development and ICU mortality in critically ill surgical patients.</w:t>
      </w:r>
    </w:p>
    <w:p w:rsidR="00D45B7C" w:rsidRDefault="00D45B7C" w:rsidP="00D45B7C">
      <w:pPr>
        <w:pStyle w:val="my-0"/>
        <w:ind w:left="720"/>
      </w:pPr>
    </w:p>
    <w:p w:rsidR="00D45B7C" w:rsidRDefault="00D45B7C" w:rsidP="00D45B7C">
      <w:pPr>
        <w:pStyle w:val="my-0"/>
      </w:pPr>
      <w:r>
        <w:rPr>
          <w:rStyle w:val="Strong"/>
        </w:rPr>
        <w:t>Research Paper Access</w:t>
      </w:r>
      <w:proofErr w:type="gramStart"/>
      <w:r>
        <w:rPr>
          <w:rStyle w:val="Strong"/>
        </w:rPr>
        <w:t>:</w:t>
      </w:r>
      <w:proofErr w:type="gramEnd"/>
      <w:r>
        <w:br/>
      </w:r>
      <w:hyperlink r:id="rId7" w:tgtFrame="_blank" w:history="1">
        <w:r>
          <w:rPr>
            <w:rStyle w:val="Hyperlink"/>
          </w:rPr>
          <w:t>https://pmc.ncbi.nlm.nih.gov/articles/PMC4537732/</w:t>
        </w:r>
      </w:hyperlink>
    </w:p>
    <w:p w:rsidR="00D45B7C" w:rsidRPr="00D45B7C" w:rsidRDefault="00D45B7C" w:rsidP="00D45B7C">
      <w:pPr>
        <w:pStyle w:val="my-0"/>
        <w:rPr>
          <w:b/>
          <w:bCs/>
        </w:rPr>
      </w:pPr>
    </w:p>
    <w:p w:rsidR="00D45B7C" w:rsidRDefault="00D45B7C" w:rsidP="00D45B7C">
      <w:pPr>
        <w:pStyle w:val="Heading2"/>
      </w:pPr>
      <w:r>
        <w:t>3. Lung Donor Selection Criteria</w:t>
      </w:r>
    </w:p>
    <w:p w:rsidR="00D45B7C" w:rsidRDefault="00D45B7C" w:rsidP="00D45B7C">
      <w:pPr>
        <w:pStyle w:val="my-0"/>
      </w:pPr>
      <w:r>
        <w:rPr>
          <w:rStyle w:val="Strong"/>
        </w:rPr>
        <w:t>Abstract</w:t>
      </w:r>
      <w:proofErr w:type="gramStart"/>
      <w:r>
        <w:rPr>
          <w:rStyle w:val="Strong"/>
        </w:rPr>
        <w:t>:</w:t>
      </w:r>
      <w:proofErr w:type="gramEnd"/>
      <w:r>
        <w:br/>
        <w:t>Traditional physiologic and social parameters for donor lungs (established since the 1980s) include:</w:t>
      </w:r>
    </w:p>
    <w:p w:rsidR="00D45B7C" w:rsidRDefault="00D45B7C" w:rsidP="00D45B7C">
      <w:pPr>
        <w:pStyle w:val="my-0"/>
        <w:numPr>
          <w:ilvl w:val="0"/>
          <w:numId w:val="5"/>
        </w:numPr>
      </w:pPr>
      <w:r>
        <w:t>Donor age generally 25–40 years (now extended: 18–64 years due to increased need).</w:t>
      </w:r>
    </w:p>
    <w:p w:rsidR="00D45B7C" w:rsidRDefault="00D45B7C" w:rsidP="00D45B7C">
      <w:pPr>
        <w:pStyle w:val="my-0"/>
        <w:numPr>
          <w:ilvl w:val="0"/>
          <w:numId w:val="5"/>
        </w:numPr>
      </w:pPr>
      <w:r>
        <w:t>PaO2/FiO2 &gt; 350.</w:t>
      </w:r>
    </w:p>
    <w:p w:rsidR="00D45B7C" w:rsidRDefault="00D45B7C" w:rsidP="00D45B7C">
      <w:pPr>
        <w:pStyle w:val="my-0"/>
        <w:numPr>
          <w:ilvl w:val="0"/>
          <w:numId w:val="5"/>
        </w:numPr>
      </w:pPr>
      <w:r>
        <w:t>No smoking history.</w:t>
      </w:r>
    </w:p>
    <w:p w:rsidR="00D45B7C" w:rsidRDefault="00D45B7C" w:rsidP="00D45B7C">
      <w:pPr>
        <w:pStyle w:val="my-0"/>
        <w:numPr>
          <w:ilvl w:val="0"/>
          <w:numId w:val="5"/>
        </w:numPr>
      </w:pPr>
      <w:r>
        <w:t>Clear chest X-ray, clean bronchoscopy, minimal ischemic time.</w:t>
      </w:r>
    </w:p>
    <w:p w:rsidR="00D45B7C" w:rsidRDefault="00D45B7C" w:rsidP="00D45B7C">
      <w:pPr>
        <w:pStyle w:val="my-0"/>
      </w:pPr>
      <w:r>
        <w:rPr>
          <w:rStyle w:val="Strong"/>
        </w:rPr>
        <w:t>Evolutions in Practice:</w:t>
      </w:r>
    </w:p>
    <w:p w:rsidR="00D45B7C" w:rsidRDefault="00D45B7C" w:rsidP="00D45B7C">
      <w:pPr>
        <w:pStyle w:val="my-0"/>
        <w:numPr>
          <w:ilvl w:val="0"/>
          <w:numId w:val="6"/>
        </w:numPr>
      </w:pPr>
      <w:r>
        <w:t xml:space="preserve">Strict adherence to these criteria is rare given </w:t>
      </w:r>
      <w:proofErr w:type="spellStart"/>
      <w:r>
        <w:t>ongoing</w:t>
      </w:r>
      <w:proofErr w:type="spellEnd"/>
      <w:r>
        <w:t xml:space="preserve"> donor shortages.</w:t>
      </w:r>
    </w:p>
    <w:p w:rsidR="00D45B7C" w:rsidRDefault="00D45B7C" w:rsidP="00D45B7C">
      <w:pPr>
        <w:pStyle w:val="my-0"/>
        <w:numPr>
          <w:ilvl w:val="0"/>
          <w:numId w:val="6"/>
        </w:numPr>
      </w:pPr>
      <w:r>
        <w:t>Recent findings suggest survival and graft function are not significantly impacted by deviations from many historical criteria.</w:t>
      </w:r>
    </w:p>
    <w:p w:rsidR="00D45B7C" w:rsidRDefault="00D45B7C" w:rsidP="00D45B7C">
      <w:pPr>
        <w:pStyle w:val="my-0"/>
        <w:numPr>
          <w:ilvl w:val="0"/>
          <w:numId w:val="6"/>
        </w:numPr>
      </w:pPr>
      <w:r>
        <w:t>Donor organ use should not be deterred by low initial PaO2/FiO2 (down to 300) or ischemic times &gt;6 hours.</w:t>
      </w:r>
    </w:p>
    <w:p w:rsidR="00D45B7C" w:rsidRDefault="00D45B7C" w:rsidP="00D45B7C">
      <w:pPr>
        <w:pStyle w:val="my-0"/>
        <w:numPr>
          <w:ilvl w:val="0"/>
          <w:numId w:val="6"/>
        </w:numPr>
      </w:pPr>
      <w:r>
        <w:t>Chest radiographs are poor predictors of lung function except in suspected malignancy.</w:t>
      </w:r>
    </w:p>
    <w:p w:rsidR="00D45B7C" w:rsidRDefault="00D45B7C" w:rsidP="00D45B7C">
      <w:pPr>
        <w:pStyle w:val="my-0"/>
        <w:numPr>
          <w:ilvl w:val="0"/>
          <w:numId w:val="6"/>
        </w:numPr>
      </w:pPr>
      <w:r>
        <w:t>Donor-recipient gender, race matching, and smoking history may influence outcomes but must be balanced against recipient needs.</w:t>
      </w:r>
    </w:p>
    <w:p w:rsidR="00D45B7C" w:rsidRDefault="00D45B7C" w:rsidP="00D45B7C">
      <w:pPr>
        <w:pStyle w:val="my-0"/>
      </w:pPr>
      <w:r>
        <w:rPr>
          <w:rStyle w:val="Strong"/>
        </w:rPr>
        <w:t>Conclusion</w:t>
      </w:r>
      <w:proofErr w:type="gramStart"/>
      <w:r>
        <w:rPr>
          <w:rStyle w:val="Strong"/>
        </w:rPr>
        <w:t>:</w:t>
      </w:r>
      <w:proofErr w:type="gramEnd"/>
      <w:r>
        <w:br/>
        <w:t>Criteria for donor lungs are evolving to maximize organ utilization without compromising patient outcomes.</w:t>
      </w:r>
    </w:p>
    <w:p w:rsidR="00D45B7C" w:rsidRDefault="00D45B7C" w:rsidP="00D45B7C">
      <w:pPr>
        <w:pStyle w:val="my-0"/>
      </w:pPr>
    </w:p>
    <w:p w:rsidR="00D45B7C" w:rsidRDefault="00D45B7C" w:rsidP="00D45B7C">
      <w:pPr>
        <w:pStyle w:val="my-0"/>
      </w:pPr>
      <w:r>
        <w:rPr>
          <w:rStyle w:val="Strong"/>
        </w:rPr>
        <w:t>Research Paper Access</w:t>
      </w:r>
      <w:proofErr w:type="gramStart"/>
      <w:r>
        <w:rPr>
          <w:rStyle w:val="Strong"/>
        </w:rPr>
        <w:t>:</w:t>
      </w:r>
      <w:proofErr w:type="gramEnd"/>
      <w:r>
        <w:br/>
      </w:r>
      <w:hyperlink r:id="rId8" w:tgtFrame="_blank" w:history="1">
        <w:r>
          <w:rPr>
            <w:rStyle w:val="Hyperlink"/>
          </w:rPr>
          <w:t>https://pmc.ncbi.nlm.nih.gov/articles/PMC4133549/</w:t>
        </w:r>
      </w:hyperlink>
    </w:p>
    <w:p w:rsidR="00D45B7C" w:rsidRDefault="00D45B7C" w:rsidP="00D45B7C">
      <w:pPr>
        <w:pStyle w:val="my-0"/>
      </w:pPr>
    </w:p>
    <w:p w:rsidR="00D45B7C" w:rsidRDefault="00D45B7C" w:rsidP="00D45B7C">
      <w:pPr>
        <w:pStyle w:val="Heading2"/>
      </w:pPr>
      <w:r>
        <w:t>4. New Models for Donor-Recipient Matching in Lung Transplantation</w:t>
      </w:r>
    </w:p>
    <w:p w:rsidR="00D45B7C" w:rsidRDefault="00D45B7C" w:rsidP="00D45B7C">
      <w:pPr>
        <w:pStyle w:val="my-0"/>
      </w:pPr>
      <w:r>
        <w:rPr>
          <w:rStyle w:val="Strong"/>
        </w:rPr>
        <w:lastRenderedPageBreak/>
        <w:t>Abstract</w:t>
      </w:r>
      <w:proofErr w:type="gramStart"/>
      <w:r>
        <w:rPr>
          <w:rStyle w:val="Strong"/>
        </w:rPr>
        <w:t>:</w:t>
      </w:r>
      <w:proofErr w:type="gramEnd"/>
      <w:r>
        <w:br/>
      </w:r>
      <w:r>
        <w:rPr>
          <w:rStyle w:val="Strong"/>
        </w:rPr>
        <w:t>Challenge:</w:t>
      </w:r>
      <w:r>
        <w:t xml:space="preserve"> Organ shortage and unpredictable post-transplant survival.</w:t>
      </w:r>
    </w:p>
    <w:p w:rsidR="00D45B7C" w:rsidRDefault="00D45B7C" w:rsidP="00D45B7C">
      <w:pPr>
        <w:pStyle w:val="my-0"/>
      </w:pPr>
      <w:r>
        <w:rPr>
          <w:rStyle w:val="Strong"/>
        </w:rPr>
        <w:t>Methodology</w:t>
      </w:r>
      <w:proofErr w:type="gramStart"/>
      <w:r>
        <w:rPr>
          <w:rStyle w:val="Strong"/>
        </w:rPr>
        <w:t>:</w:t>
      </w:r>
      <w:proofErr w:type="gramEnd"/>
      <w:r>
        <w:br/>
        <w:t>Analysis of clinical data from 404 lung transplants over 23 years; development of various models, including machine learning approaches, for donor-recipient matching.</w:t>
      </w:r>
    </w:p>
    <w:p w:rsidR="00D45B7C" w:rsidRDefault="00D45B7C" w:rsidP="00D45B7C">
      <w:pPr>
        <w:pStyle w:val="my-0"/>
      </w:pPr>
      <w:r>
        <w:rPr>
          <w:rStyle w:val="Strong"/>
        </w:rPr>
        <w:t>Key Predictors for Improved Survival:</w:t>
      </w:r>
    </w:p>
    <w:p w:rsidR="00D45B7C" w:rsidRDefault="00D45B7C" w:rsidP="00D45B7C">
      <w:pPr>
        <w:pStyle w:val="my-0"/>
        <w:numPr>
          <w:ilvl w:val="0"/>
          <w:numId w:val="7"/>
        </w:numPr>
      </w:pPr>
      <w:r>
        <w:t>Higher pre/post-transplant functional vital capacity (FVC).</w:t>
      </w:r>
    </w:p>
    <w:p w:rsidR="00D45B7C" w:rsidRDefault="00D45B7C" w:rsidP="00D45B7C">
      <w:pPr>
        <w:pStyle w:val="my-0"/>
        <w:numPr>
          <w:ilvl w:val="0"/>
          <w:numId w:val="7"/>
        </w:numPr>
      </w:pPr>
      <w:r>
        <w:t>Lower preoperative carbon dioxide pressure (PCO2).</w:t>
      </w:r>
    </w:p>
    <w:p w:rsidR="00D45B7C" w:rsidRDefault="00D45B7C" w:rsidP="00D45B7C">
      <w:pPr>
        <w:pStyle w:val="my-0"/>
        <w:numPr>
          <w:ilvl w:val="0"/>
          <w:numId w:val="7"/>
        </w:numPr>
      </w:pPr>
      <w:r>
        <w:t>Lower levels of donor mechanical ventilation.</w:t>
      </w:r>
    </w:p>
    <w:p w:rsidR="00D45B7C" w:rsidRDefault="00D45B7C" w:rsidP="00D45B7C">
      <w:pPr>
        <w:pStyle w:val="my-0"/>
        <w:numPr>
          <w:ilvl w:val="0"/>
          <w:numId w:val="7"/>
        </w:numPr>
      </w:pPr>
      <w:r>
        <w:t>Shorter ischemia time.</w:t>
      </w:r>
    </w:p>
    <w:p w:rsidR="00D45B7C" w:rsidRDefault="00D45B7C" w:rsidP="00D45B7C">
      <w:pPr>
        <w:pStyle w:val="my-0"/>
      </w:pPr>
      <w:r>
        <w:rPr>
          <w:rStyle w:val="Strong"/>
        </w:rPr>
        <w:t>Key Negative Influences:</w:t>
      </w:r>
    </w:p>
    <w:p w:rsidR="00D45B7C" w:rsidRDefault="00D45B7C" w:rsidP="00D45B7C">
      <w:pPr>
        <w:pStyle w:val="my-0"/>
        <w:numPr>
          <w:ilvl w:val="0"/>
          <w:numId w:val="8"/>
        </w:numPr>
      </w:pPr>
      <w:r>
        <w:t>Lower preoperative FEV1 and arterial oxygen pressure (PaO2)/fraction of inspired oxygen (FiO2) ratio.</w:t>
      </w:r>
    </w:p>
    <w:p w:rsidR="00D45B7C" w:rsidRDefault="00D45B7C" w:rsidP="00D45B7C">
      <w:pPr>
        <w:pStyle w:val="my-0"/>
        <w:numPr>
          <w:ilvl w:val="0"/>
          <w:numId w:val="8"/>
        </w:numPr>
      </w:pPr>
      <w:proofErr w:type="spellStart"/>
      <w:r>
        <w:t>Bilobar</w:t>
      </w:r>
      <w:proofErr w:type="spellEnd"/>
      <w:r>
        <w:t xml:space="preserve"> transplants, advanced donor/recipient age, disproportionate size requiring surgical reduction, complex transplants, need for cardiopulmonary bypass, donor death due to head trauma, and preoperative hospitalization status.</w:t>
      </w:r>
    </w:p>
    <w:p w:rsidR="00D45B7C" w:rsidRDefault="00D45B7C" w:rsidP="00D45B7C">
      <w:pPr>
        <w:pStyle w:val="my-0"/>
      </w:pPr>
      <w:r>
        <w:rPr>
          <w:rStyle w:val="Strong"/>
        </w:rPr>
        <w:t>Outcome</w:t>
      </w:r>
      <w:proofErr w:type="gramStart"/>
      <w:r>
        <w:rPr>
          <w:rStyle w:val="Strong"/>
        </w:rPr>
        <w:t>:</w:t>
      </w:r>
      <w:proofErr w:type="gramEnd"/>
      <w:r>
        <w:br/>
        <w:t>Combination of classical statistics and machine learning improves donor-recipient matching, optimizing graft allocation and survival rates.</w:t>
      </w:r>
    </w:p>
    <w:p w:rsidR="00D45B7C" w:rsidRDefault="00D45B7C" w:rsidP="00D45B7C">
      <w:pPr>
        <w:pStyle w:val="my-0"/>
      </w:pPr>
    </w:p>
    <w:p w:rsidR="00D45B7C" w:rsidRDefault="00D45B7C" w:rsidP="00D45B7C">
      <w:pPr>
        <w:pStyle w:val="my-0"/>
      </w:pPr>
      <w:r>
        <w:rPr>
          <w:rStyle w:val="Strong"/>
        </w:rPr>
        <w:t>Research Paper Access</w:t>
      </w:r>
      <w:proofErr w:type="gramStart"/>
      <w:r>
        <w:rPr>
          <w:rStyle w:val="Strong"/>
        </w:rPr>
        <w:t>:</w:t>
      </w:r>
      <w:proofErr w:type="gramEnd"/>
      <w:r>
        <w:br/>
      </w:r>
      <w:hyperlink r:id="rId9" w:tgtFrame="_blank" w:history="1">
        <w:r>
          <w:rPr>
            <w:rStyle w:val="Hyperlink"/>
          </w:rPr>
          <w:t>https://pmc.ncbi.nlm.nih.gov/articles/PMC8177410/</w:t>
        </w:r>
      </w:hyperlink>
    </w:p>
    <w:p w:rsidR="00D45B7C" w:rsidRDefault="00D45B7C" w:rsidP="00D45B7C">
      <w:pPr>
        <w:pStyle w:val="my-0"/>
      </w:pPr>
    </w:p>
    <w:p w:rsidR="00D45B7C" w:rsidRDefault="00D45B7C" w:rsidP="00D45B7C">
      <w:pPr>
        <w:pStyle w:val="Heading2"/>
      </w:pPr>
      <w:r>
        <w:t>5. Advancements: AI/ML Integration in Lung Transplantation</w:t>
      </w:r>
    </w:p>
    <w:p w:rsidR="00D45B7C" w:rsidRDefault="00D45B7C" w:rsidP="00D45B7C">
      <w:pPr>
        <w:pStyle w:val="my-0"/>
      </w:pPr>
      <w:r>
        <w:rPr>
          <w:rStyle w:val="Strong"/>
        </w:rPr>
        <w:t>Abstract</w:t>
      </w:r>
      <w:proofErr w:type="gramStart"/>
      <w:r>
        <w:rPr>
          <w:rStyle w:val="Strong"/>
        </w:rPr>
        <w:t>:</w:t>
      </w:r>
      <w:proofErr w:type="gramEnd"/>
      <w:r>
        <w:br/>
      </w:r>
      <w:r>
        <w:rPr>
          <w:rStyle w:val="Strong"/>
        </w:rPr>
        <w:t>Scope:</w:t>
      </w:r>
      <w:r>
        <w:t xml:space="preserve"> Covers application of artificial intelligence (AI) and machine learning (ML) through the lung transplantation process phases—preoperative, intraoperative, and postoperative.</w:t>
      </w:r>
    </w:p>
    <w:p w:rsidR="00D45B7C" w:rsidRDefault="00D45B7C" w:rsidP="00D45B7C">
      <w:pPr>
        <w:pStyle w:val="my-0"/>
      </w:pPr>
      <w:r>
        <w:rPr>
          <w:rStyle w:val="Strong"/>
        </w:rPr>
        <w:t>Uses Include:</w:t>
      </w:r>
    </w:p>
    <w:p w:rsidR="00D45B7C" w:rsidRDefault="00D45B7C" w:rsidP="00D45B7C">
      <w:pPr>
        <w:pStyle w:val="my-0"/>
        <w:numPr>
          <w:ilvl w:val="0"/>
          <w:numId w:val="9"/>
        </w:numPr>
      </w:pPr>
      <w:r>
        <w:t>Organ allocation and donor suitability assessment.</w:t>
      </w:r>
    </w:p>
    <w:p w:rsidR="00D45B7C" w:rsidRDefault="00D45B7C" w:rsidP="00D45B7C">
      <w:pPr>
        <w:pStyle w:val="my-0"/>
        <w:numPr>
          <w:ilvl w:val="0"/>
          <w:numId w:val="9"/>
        </w:numPr>
      </w:pPr>
      <w:r>
        <w:t>Prediction of patient and graft survival.</w:t>
      </w:r>
    </w:p>
    <w:p w:rsidR="00D45B7C" w:rsidRDefault="00D45B7C" w:rsidP="00D45B7C">
      <w:pPr>
        <w:pStyle w:val="my-0"/>
        <w:numPr>
          <w:ilvl w:val="0"/>
          <w:numId w:val="9"/>
        </w:numPr>
      </w:pPr>
      <w:r>
        <w:t>Quality of life evaluation.</w:t>
      </w:r>
    </w:p>
    <w:p w:rsidR="00D45B7C" w:rsidRDefault="00D45B7C" w:rsidP="00D45B7C">
      <w:pPr>
        <w:pStyle w:val="my-0"/>
        <w:numPr>
          <w:ilvl w:val="0"/>
          <w:numId w:val="9"/>
        </w:numPr>
      </w:pPr>
      <w:r>
        <w:t>Early identification of complications.</w:t>
      </w:r>
    </w:p>
    <w:p w:rsidR="00D45B7C" w:rsidRDefault="00D45B7C" w:rsidP="00D45B7C">
      <w:pPr>
        <w:pStyle w:val="my-0"/>
      </w:pPr>
      <w:r>
        <w:rPr>
          <w:rStyle w:val="Strong"/>
        </w:rPr>
        <w:t>Challenges:</w:t>
      </w:r>
    </w:p>
    <w:p w:rsidR="00D45B7C" w:rsidRDefault="00D45B7C" w:rsidP="00D45B7C">
      <w:pPr>
        <w:pStyle w:val="my-0"/>
        <w:numPr>
          <w:ilvl w:val="0"/>
          <w:numId w:val="10"/>
        </w:numPr>
      </w:pPr>
      <w:r>
        <w:lastRenderedPageBreak/>
        <w:t>Dataset quality and reliability.</w:t>
      </w:r>
    </w:p>
    <w:p w:rsidR="00D45B7C" w:rsidRDefault="00D45B7C" w:rsidP="00D45B7C">
      <w:pPr>
        <w:pStyle w:val="my-0"/>
        <w:numPr>
          <w:ilvl w:val="0"/>
          <w:numId w:val="10"/>
        </w:numPr>
      </w:pPr>
      <w:r>
        <w:t>Model interpretability and transparency.</w:t>
      </w:r>
    </w:p>
    <w:p w:rsidR="00D45B7C" w:rsidRDefault="00D45B7C" w:rsidP="00D45B7C">
      <w:pPr>
        <w:pStyle w:val="my-0"/>
        <w:numPr>
          <w:ilvl w:val="0"/>
          <w:numId w:val="10"/>
        </w:numPr>
      </w:pPr>
      <w:r>
        <w:t>Physician trust and technology acceptance.</w:t>
      </w:r>
    </w:p>
    <w:p w:rsidR="00D45B7C" w:rsidRDefault="00D45B7C" w:rsidP="00D45B7C">
      <w:pPr>
        <w:pStyle w:val="my-0"/>
        <w:numPr>
          <w:ilvl w:val="0"/>
          <w:numId w:val="10"/>
        </w:numPr>
      </w:pPr>
      <w:r>
        <w:t>Legal and ethical considerations.</w:t>
      </w:r>
    </w:p>
    <w:p w:rsidR="00D45B7C" w:rsidRDefault="00D45B7C" w:rsidP="00D45B7C">
      <w:pPr>
        <w:pStyle w:val="my-0"/>
      </w:pPr>
      <w:r>
        <w:rPr>
          <w:rStyle w:val="Strong"/>
        </w:rPr>
        <w:t>Conclusion</w:t>
      </w:r>
      <w:proofErr w:type="gramStart"/>
      <w:r>
        <w:rPr>
          <w:rStyle w:val="Strong"/>
        </w:rPr>
        <w:t>:</w:t>
      </w:r>
      <w:proofErr w:type="gramEnd"/>
      <w:r>
        <w:br/>
        <w:t>While AI/ML methods enhance personalization and clinical efficiency, further validation, research, and integration work are necessary to maximize patient outcomes and acceptance.</w:t>
      </w:r>
    </w:p>
    <w:p w:rsidR="00D45B7C" w:rsidRDefault="00D45B7C" w:rsidP="00D45B7C">
      <w:pPr>
        <w:pStyle w:val="my-0"/>
      </w:pPr>
    </w:p>
    <w:p w:rsidR="00D45B7C" w:rsidRDefault="00D45B7C" w:rsidP="00D45B7C">
      <w:pPr>
        <w:pStyle w:val="my-0"/>
      </w:pPr>
      <w:r>
        <w:rPr>
          <w:rStyle w:val="Strong"/>
        </w:rPr>
        <w:t>Research Paper Access</w:t>
      </w:r>
      <w:proofErr w:type="gramStart"/>
      <w:r>
        <w:rPr>
          <w:rStyle w:val="Strong"/>
        </w:rPr>
        <w:t>:</w:t>
      </w:r>
      <w:proofErr w:type="gramEnd"/>
      <w:r>
        <w:br/>
      </w:r>
      <w:hyperlink r:id="rId10" w:tgtFrame="_blank" w:history="1">
        <w:r>
          <w:rPr>
            <w:rStyle w:val="Hyperlink"/>
          </w:rPr>
          <w:t>https://pmc.ncbi.nlm.nih.gov/articles/PMC12078212/</w:t>
        </w:r>
      </w:hyperlink>
    </w:p>
    <w:p w:rsidR="00D45B7C" w:rsidRDefault="00D45B7C" w:rsidP="00D45B7C">
      <w:pPr>
        <w:pStyle w:val="my-0"/>
      </w:pPr>
    </w:p>
    <w:p w:rsidR="00D45B7C" w:rsidRDefault="00D45B7C" w:rsidP="00D45B7C">
      <w:pPr>
        <w:pStyle w:val="Heading2"/>
      </w:pPr>
      <w:r>
        <w:t>6. Additional Journal Reference: Machine Learning for Lung Donor-Recipient Matching</w:t>
      </w:r>
    </w:p>
    <w:p w:rsidR="00D45B7C" w:rsidRDefault="00D45B7C" w:rsidP="00D45B7C">
      <w:pPr>
        <w:pStyle w:val="my-0"/>
      </w:pPr>
      <w:r>
        <w:rPr>
          <w:rStyle w:val="Strong"/>
        </w:rPr>
        <w:t>Research Paper Access</w:t>
      </w:r>
      <w:proofErr w:type="gramStart"/>
      <w:r>
        <w:rPr>
          <w:rStyle w:val="Strong"/>
        </w:rPr>
        <w:t>:</w:t>
      </w:r>
      <w:proofErr w:type="gramEnd"/>
      <w:r>
        <w:br/>
      </w:r>
      <w:hyperlink r:id="rId11" w:tgtFrame="_blank" w:history="1">
        <w:r>
          <w:rPr>
            <w:rStyle w:val="Hyperlink"/>
          </w:rPr>
          <w:t>https://journals.plos.org/plosone/article?id=10.1371/journal.pone.0252148</w:t>
        </w:r>
      </w:hyperlink>
    </w:p>
    <w:p w:rsidR="00D45B7C" w:rsidRDefault="00D45B7C" w:rsidP="00D45B7C">
      <w:pPr>
        <w:pStyle w:val="my-0"/>
      </w:pPr>
    </w:p>
    <w:p w:rsidR="00D45B7C" w:rsidRDefault="00D45B7C" w:rsidP="00D45B7C">
      <w:pPr>
        <w:pStyle w:val="my-0"/>
      </w:pPr>
    </w:p>
    <w:p w:rsidR="00037936" w:rsidRDefault="00037936" w:rsidP="00D45B7C">
      <w:pPr>
        <w:pStyle w:val="my-0"/>
      </w:pPr>
    </w:p>
    <w:p w:rsidR="00037936" w:rsidRDefault="00037936" w:rsidP="00D45B7C">
      <w:pPr>
        <w:pStyle w:val="my-0"/>
      </w:pPr>
    </w:p>
    <w:p w:rsidR="00037936" w:rsidRDefault="00037936" w:rsidP="00D45B7C">
      <w:pPr>
        <w:pStyle w:val="my-0"/>
      </w:pPr>
    </w:p>
    <w:p w:rsidR="00037936" w:rsidRDefault="00037936" w:rsidP="00D45B7C">
      <w:pPr>
        <w:pStyle w:val="my-0"/>
      </w:pPr>
    </w:p>
    <w:p w:rsidR="00037936" w:rsidRDefault="00037936" w:rsidP="00D45B7C">
      <w:pPr>
        <w:pStyle w:val="my-0"/>
      </w:pPr>
    </w:p>
    <w:p w:rsidR="00037936" w:rsidRDefault="00037936" w:rsidP="00D45B7C">
      <w:pPr>
        <w:pStyle w:val="my-0"/>
      </w:pPr>
    </w:p>
    <w:p w:rsidR="00037936" w:rsidRDefault="00037936" w:rsidP="00D45B7C">
      <w:pPr>
        <w:pStyle w:val="my-0"/>
      </w:pPr>
    </w:p>
    <w:p w:rsidR="00037936" w:rsidRDefault="00037936" w:rsidP="00D45B7C">
      <w:pPr>
        <w:pStyle w:val="my-0"/>
      </w:pPr>
    </w:p>
    <w:p w:rsidR="00224A19" w:rsidRDefault="00224A19" w:rsidP="00D45B7C">
      <w:pPr>
        <w:pStyle w:val="Heading1"/>
        <w:rPr>
          <w:rFonts w:ascii="Times New Roman" w:eastAsia="Times New Roman" w:hAnsi="Times New Roman" w:cs="Times New Roman"/>
          <w:b w:val="0"/>
          <w:bCs w:val="0"/>
          <w:color w:val="auto"/>
          <w:sz w:val="24"/>
          <w:szCs w:val="24"/>
          <w:lang w:eastAsia="en-IN"/>
        </w:rPr>
      </w:pPr>
      <w:bookmarkStart w:id="0" w:name="_GoBack"/>
      <w:bookmarkEnd w:id="0"/>
    </w:p>
    <w:sectPr w:rsidR="00224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5CCB"/>
    <w:multiLevelType w:val="multilevel"/>
    <w:tmpl w:val="630E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7632B"/>
    <w:multiLevelType w:val="multilevel"/>
    <w:tmpl w:val="56E4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849B5"/>
    <w:multiLevelType w:val="multilevel"/>
    <w:tmpl w:val="DC4A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41CFE"/>
    <w:multiLevelType w:val="multilevel"/>
    <w:tmpl w:val="FFFC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967DF0"/>
    <w:multiLevelType w:val="multilevel"/>
    <w:tmpl w:val="555E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C70F3"/>
    <w:multiLevelType w:val="multilevel"/>
    <w:tmpl w:val="DF68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75503D"/>
    <w:multiLevelType w:val="multilevel"/>
    <w:tmpl w:val="ED4C3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991A86"/>
    <w:multiLevelType w:val="multilevel"/>
    <w:tmpl w:val="61E4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D87D4E"/>
    <w:multiLevelType w:val="multilevel"/>
    <w:tmpl w:val="F61A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616E2D"/>
    <w:multiLevelType w:val="multilevel"/>
    <w:tmpl w:val="E79C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D1D6C"/>
    <w:multiLevelType w:val="multilevel"/>
    <w:tmpl w:val="E36C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2F0F34"/>
    <w:multiLevelType w:val="multilevel"/>
    <w:tmpl w:val="D764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A81DD1"/>
    <w:multiLevelType w:val="hybridMultilevel"/>
    <w:tmpl w:val="D2CEA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0D4265E"/>
    <w:multiLevelType w:val="multilevel"/>
    <w:tmpl w:val="4E3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7C4350"/>
    <w:multiLevelType w:val="multilevel"/>
    <w:tmpl w:val="3E42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443D32"/>
    <w:multiLevelType w:val="multilevel"/>
    <w:tmpl w:val="D9F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581026"/>
    <w:multiLevelType w:val="multilevel"/>
    <w:tmpl w:val="6DA2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1B4A81"/>
    <w:multiLevelType w:val="multilevel"/>
    <w:tmpl w:val="FC94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A20CBA"/>
    <w:multiLevelType w:val="multilevel"/>
    <w:tmpl w:val="D31E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BE729B"/>
    <w:multiLevelType w:val="multilevel"/>
    <w:tmpl w:val="FDA4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066011"/>
    <w:multiLevelType w:val="multilevel"/>
    <w:tmpl w:val="854E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875732"/>
    <w:multiLevelType w:val="multilevel"/>
    <w:tmpl w:val="A68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097F32"/>
    <w:multiLevelType w:val="multilevel"/>
    <w:tmpl w:val="F1A4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D361DB"/>
    <w:multiLevelType w:val="hybridMultilevel"/>
    <w:tmpl w:val="4ED6F1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3"/>
  </w:num>
  <w:num w:numId="3">
    <w:abstractNumId w:val="10"/>
  </w:num>
  <w:num w:numId="4">
    <w:abstractNumId w:val="19"/>
  </w:num>
  <w:num w:numId="5">
    <w:abstractNumId w:val="15"/>
  </w:num>
  <w:num w:numId="6">
    <w:abstractNumId w:val="3"/>
  </w:num>
  <w:num w:numId="7">
    <w:abstractNumId w:val="1"/>
  </w:num>
  <w:num w:numId="8">
    <w:abstractNumId w:val="9"/>
  </w:num>
  <w:num w:numId="9">
    <w:abstractNumId w:val="0"/>
  </w:num>
  <w:num w:numId="10">
    <w:abstractNumId w:val="16"/>
  </w:num>
  <w:num w:numId="11">
    <w:abstractNumId w:val="6"/>
  </w:num>
  <w:num w:numId="12">
    <w:abstractNumId w:val="14"/>
  </w:num>
  <w:num w:numId="13">
    <w:abstractNumId w:val="17"/>
  </w:num>
  <w:num w:numId="14">
    <w:abstractNumId w:val="21"/>
  </w:num>
  <w:num w:numId="15">
    <w:abstractNumId w:val="13"/>
  </w:num>
  <w:num w:numId="16">
    <w:abstractNumId w:val="18"/>
  </w:num>
  <w:num w:numId="17">
    <w:abstractNumId w:val="8"/>
  </w:num>
  <w:num w:numId="18">
    <w:abstractNumId w:val="5"/>
  </w:num>
  <w:num w:numId="19">
    <w:abstractNumId w:val="4"/>
  </w:num>
  <w:num w:numId="20">
    <w:abstractNumId w:val="2"/>
  </w:num>
  <w:num w:numId="21">
    <w:abstractNumId w:val="22"/>
  </w:num>
  <w:num w:numId="22">
    <w:abstractNumId w:val="20"/>
  </w:num>
  <w:num w:numId="23">
    <w:abstractNumId w:val="1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5E"/>
    <w:rsid w:val="00037936"/>
    <w:rsid w:val="00224A19"/>
    <w:rsid w:val="004B5491"/>
    <w:rsid w:val="005E663B"/>
    <w:rsid w:val="00881C73"/>
    <w:rsid w:val="00BF577C"/>
    <w:rsid w:val="00D45B7C"/>
    <w:rsid w:val="00E50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C73"/>
  </w:style>
  <w:style w:type="paragraph" w:styleId="Heading1">
    <w:name w:val="heading 1"/>
    <w:basedOn w:val="Normal"/>
    <w:next w:val="Normal"/>
    <w:link w:val="Heading1Char"/>
    <w:uiPriority w:val="9"/>
    <w:qFormat/>
    <w:rsid w:val="00E50F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50F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F57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F5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50F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50F5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50F5E"/>
    <w:rPr>
      <w:color w:val="0000FF" w:themeColor="hyperlink"/>
      <w:u w:val="single"/>
    </w:rPr>
  </w:style>
  <w:style w:type="character" w:styleId="Emphasis">
    <w:name w:val="Emphasis"/>
    <w:basedOn w:val="DefaultParagraphFont"/>
    <w:uiPriority w:val="20"/>
    <w:qFormat/>
    <w:rsid w:val="00E50F5E"/>
    <w:rPr>
      <w:i/>
      <w:iCs/>
    </w:rPr>
  </w:style>
  <w:style w:type="character" w:customStyle="1" w:styleId="Heading3Char">
    <w:name w:val="Heading 3 Char"/>
    <w:basedOn w:val="DefaultParagraphFont"/>
    <w:link w:val="Heading3"/>
    <w:uiPriority w:val="9"/>
    <w:semiHidden/>
    <w:rsid w:val="00BF577C"/>
    <w:rPr>
      <w:rFonts w:asciiTheme="majorHAnsi" w:eastAsiaTheme="majorEastAsia" w:hAnsiTheme="majorHAnsi" w:cstheme="majorBidi"/>
      <w:b/>
      <w:bCs/>
      <w:color w:val="4F81BD" w:themeColor="accent1"/>
    </w:rPr>
  </w:style>
  <w:style w:type="paragraph" w:customStyle="1" w:styleId="my-0">
    <w:name w:val="my-0"/>
    <w:basedOn w:val="Normal"/>
    <w:rsid w:val="00D45B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5B7C"/>
    <w:rPr>
      <w:b/>
      <w:bCs/>
    </w:rPr>
  </w:style>
  <w:style w:type="character" w:styleId="FollowedHyperlink">
    <w:name w:val="FollowedHyperlink"/>
    <w:basedOn w:val="DefaultParagraphFont"/>
    <w:uiPriority w:val="99"/>
    <w:semiHidden/>
    <w:unhideWhenUsed/>
    <w:rsid w:val="00224A1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C73"/>
  </w:style>
  <w:style w:type="paragraph" w:styleId="Heading1">
    <w:name w:val="heading 1"/>
    <w:basedOn w:val="Normal"/>
    <w:next w:val="Normal"/>
    <w:link w:val="Heading1Char"/>
    <w:uiPriority w:val="9"/>
    <w:qFormat/>
    <w:rsid w:val="00E50F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50F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F57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F5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50F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50F5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50F5E"/>
    <w:rPr>
      <w:color w:val="0000FF" w:themeColor="hyperlink"/>
      <w:u w:val="single"/>
    </w:rPr>
  </w:style>
  <w:style w:type="character" w:styleId="Emphasis">
    <w:name w:val="Emphasis"/>
    <w:basedOn w:val="DefaultParagraphFont"/>
    <w:uiPriority w:val="20"/>
    <w:qFormat/>
    <w:rsid w:val="00E50F5E"/>
    <w:rPr>
      <w:i/>
      <w:iCs/>
    </w:rPr>
  </w:style>
  <w:style w:type="character" w:customStyle="1" w:styleId="Heading3Char">
    <w:name w:val="Heading 3 Char"/>
    <w:basedOn w:val="DefaultParagraphFont"/>
    <w:link w:val="Heading3"/>
    <w:uiPriority w:val="9"/>
    <w:semiHidden/>
    <w:rsid w:val="00BF577C"/>
    <w:rPr>
      <w:rFonts w:asciiTheme="majorHAnsi" w:eastAsiaTheme="majorEastAsia" w:hAnsiTheme="majorHAnsi" w:cstheme="majorBidi"/>
      <w:b/>
      <w:bCs/>
      <w:color w:val="4F81BD" w:themeColor="accent1"/>
    </w:rPr>
  </w:style>
  <w:style w:type="paragraph" w:customStyle="1" w:styleId="my-0">
    <w:name w:val="my-0"/>
    <w:basedOn w:val="Normal"/>
    <w:rsid w:val="00D45B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5B7C"/>
    <w:rPr>
      <w:b/>
      <w:bCs/>
    </w:rPr>
  </w:style>
  <w:style w:type="character" w:styleId="FollowedHyperlink">
    <w:name w:val="FollowedHyperlink"/>
    <w:basedOn w:val="DefaultParagraphFont"/>
    <w:uiPriority w:val="99"/>
    <w:semiHidden/>
    <w:unhideWhenUsed/>
    <w:rsid w:val="00224A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8358">
      <w:bodyDiv w:val="1"/>
      <w:marLeft w:val="0"/>
      <w:marRight w:val="0"/>
      <w:marTop w:val="0"/>
      <w:marBottom w:val="0"/>
      <w:divBdr>
        <w:top w:val="none" w:sz="0" w:space="0" w:color="auto"/>
        <w:left w:val="none" w:sz="0" w:space="0" w:color="auto"/>
        <w:bottom w:val="none" w:sz="0" w:space="0" w:color="auto"/>
        <w:right w:val="none" w:sz="0" w:space="0" w:color="auto"/>
      </w:divBdr>
    </w:div>
    <w:div w:id="79714641">
      <w:bodyDiv w:val="1"/>
      <w:marLeft w:val="0"/>
      <w:marRight w:val="0"/>
      <w:marTop w:val="0"/>
      <w:marBottom w:val="0"/>
      <w:divBdr>
        <w:top w:val="none" w:sz="0" w:space="0" w:color="auto"/>
        <w:left w:val="none" w:sz="0" w:space="0" w:color="auto"/>
        <w:bottom w:val="none" w:sz="0" w:space="0" w:color="auto"/>
        <w:right w:val="none" w:sz="0" w:space="0" w:color="auto"/>
      </w:divBdr>
    </w:div>
    <w:div w:id="161748606">
      <w:bodyDiv w:val="1"/>
      <w:marLeft w:val="0"/>
      <w:marRight w:val="0"/>
      <w:marTop w:val="0"/>
      <w:marBottom w:val="0"/>
      <w:divBdr>
        <w:top w:val="none" w:sz="0" w:space="0" w:color="auto"/>
        <w:left w:val="none" w:sz="0" w:space="0" w:color="auto"/>
        <w:bottom w:val="none" w:sz="0" w:space="0" w:color="auto"/>
        <w:right w:val="none" w:sz="0" w:space="0" w:color="auto"/>
      </w:divBdr>
    </w:div>
    <w:div w:id="743334316">
      <w:bodyDiv w:val="1"/>
      <w:marLeft w:val="0"/>
      <w:marRight w:val="0"/>
      <w:marTop w:val="0"/>
      <w:marBottom w:val="0"/>
      <w:divBdr>
        <w:top w:val="none" w:sz="0" w:space="0" w:color="auto"/>
        <w:left w:val="none" w:sz="0" w:space="0" w:color="auto"/>
        <w:bottom w:val="none" w:sz="0" w:space="0" w:color="auto"/>
        <w:right w:val="none" w:sz="0" w:space="0" w:color="auto"/>
      </w:divBdr>
    </w:div>
    <w:div w:id="763384431">
      <w:bodyDiv w:val="1"/>
      <w:marLeft w:val="0"/>
      <w:marRight w:val="0"/>
      <w:marTop w:val="0"/>
      <w:marBottom w:val="0"/>
      <w:divBdr>
        <w:top w:val="none" w:sz="0" w:space="0" w:color="auto"/>
        <w:left w:val="none" w:sz="0" w:space="0" w:color="auto"/>
        <w:bottom w:val="none" w:sz="0" w:space="0" w:color="auto"/>
        <w:right w:val="none" w:sz="0" w:space="0" w:color="auto"/>
      </w:divBdr>
      <w:divsChild>
        <w:div w:id="3437207">
          <w:marLeft w:val="0"/>
          <w:marRight w:val="0"/>
          <w:marTop w:val="0"/>
          <w:marBottom w:val="0"/>
          <w:divBdr>
            <w:top w:val="none" w:sz="0" w:space="0" w:color="auto"/>
            <w:left w:val="none" w:sz="0" w:space="0" w:color="auto"/>
            <w:bottom w:val="none" w:sz="0" w:space="0" w:color="auto"/>
            <w:right w:val="none" w:sz="0" w:space="0" w:color="auto"/>
          </w:divBdr>
          <w:divsChild>
            <w:div w:id="1253851350">
              <w:marLeft w:val="0"/>
              <w:marRight w:val="0"/>
              <w:marTop w:val="0"/>
              <w:marBottom w:val="0"/>
              <w:divBdr>
                <w:top w:val="none" w:sz="0" w:space="0" w:color="auto"/>
                <w:left w:val="none" w:sz="0" w:space="0" w:color="auto"/>
                <w:bottom w:val="none" w:sz="0" w:space="0" w:color="auto"/>
                <w:right w:val="none" w:sz="0" w:space="0" w:color="auto"/>
              </w:divBdr>
              <w:divsChild>
                <w:div w:id="2105419067">
                  <w:marLeft w:val="0"/>
                  <w:marRight w:val="0"/>
                  <w:marTop w:val="0"/>
                  <w:marBottom w:val="0"/>
                  <w:divBdr>
                    <w:top w:val="none" w:sz="0" w:space="0" w:color="auto"/>
                    <w:left w:val="none" w:sz="0" w:space="0" w:color="auto"/>
                    <w:bottom w:val="none" w:sz="0" w:space="0" w:color="auto"/>
                    <w:right w:val="none" w:sz="0" w:space="0" w:color="auto"/>
                  </w:divBdr>
                  <w:divsChild>
                    <w:div w:id="17665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92876">
      <w:bodyDiv w:val="1"/>
      <w:marLeft w:val="0"/>
      <w:marRight w:val="0"/>
      <w:marTop w:val="0"/>
      <w:marBottom w:val="0"/>
      <w:divBdr>
        <w:top w:val="none" w:sz="0" w:space="0" w:color="auto"/>
        <w:left w:val="none" w:sz="0" w:space="0" w:color="auto"/>
        <w:bottom w:val="none" w:sz="0" w:space="0" w:color="auto"/>
        <w:right w:val="none" w:sz="0" w:space="0" w:color="auto"/>
      </w:divBdr>
    </w:div>
    <w:div w:id="779566357">
      <w:bodyDiv w:val="1"/>
      <w:marLeft w:val="0"/>
      <w:marRight w:val="0"/>
      <w:marTop w:val="0"/>
      <w:marBottom w:val="0"/>
      <w:divBdr>
        <w:top w:val="none" w:sz="0" w:space="0" w:color="auto"/>
        <w:left w:val="none" w:sz="0" w:space="0" w:color="auto"/>
        <w:bottom w:val="none" w:sz="0" w:space="0" w:color="auto"/>
        <w:right w:val="none" w:sz="0" w:space="0" w:color="auto"/>
      </w:divBdr>
    </w:div>
    <w:div w:id="884680013">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005132121">
      <w:bodyDiv w:val="1"/>
      <w:marLeft w:val="0"/>
      <w:marRight w:val="0"/>
      <w:marTop w:val="0"/>
      <w:marBottom w:val="0"/>
      <w:divBdr>
        <w:top w:val="none" w:sz="0" w:space="0" w:color="auto"/>
        <w:left w:val="none" w:sz="0" w:space="0" w:color="auto"/>
        <w:bottom w:val="none" w:sz="0" w:space="0" w:color="auto"/>
        <w:right w:val="none" w:sz="0" w:space="0" w:color="auto"/>
      </w:divBdr>
      <w:divsChild>
        <w:div w:id="345601768">
          <w:marLeft w:val="0"/>
          <w:marRight w:val="0"/>
          <w:marTop w:val="0"/>
          <w:marBottom w:val="0"/>
          <w:divBdr>
            <w:top w:val="none" w:sz="0" w:space="0" w:color="auto"/>
            <w:left w:val="none" w:sz="0" w:space="0" w:color="auto"/>
            <w:bottom w:val="none" w:sz="0" w:space="0" w:color="auto"/>
            <w:right w:val="none" w:sz="0" w:space="0" w:color="auto"/>
          </w:divBdr>
          <w:divsChild>
            <w:div w:id="1294290858">
              <w:marLeft w:val="0"/>
              <w:marRight w:val="0"/>
              <w:marTop w:val="0"/>
              <w:marBottom w:val="0"/>
              <w:divBdr>
                <w:top w:val="none" w:sz="0" w:space="0" w:color="auto"/>
                <w:left w:val="none" w:sz="0" w:space="0" w:color="auto"/>
                <w:bottom w:val="none" w:sz="0" w:space="0" w:color="auto"/>
                <w:right w:val="none" w:sz="0" w:space="0" w:color="auto"/>
              </w:divBdr>
            </w:div>
            <w:div w:id="1270502642">
              <w:marLeft w:val="0"/>
              <w:marRight w:val="0"/>
              <w:marTop w:val="0"/>
              <w:marBottom w:val="0"/>
              <w:divBdr>
                <w:top w:val="none" w:sz="0" w:space="0" w:color="auto"/>
                <w:left w:val="none" w:sz="0" w:space="0" w:color="auto"/>
                <w:bottom w:val="none" w:sz="0" w:space="0" w:color="auto"/>
                <w:right w:val="none" w:sz="0" w:space="0" w:color="auto"/>
              </w:divBdr>
            </w:div>
            <w:div w:id="1715153864">
              <w:marLeft w:val="0"/>
              <w:marRight w:val="0"/>
              <w:marTop w:val="0"/>
              <w:marBottom w:val="0"/>
              <w:divBdr>
                <w:top w:val="none" w:sz="0" w:space="0" w:color="auto"/>
                <w:left w:val="none" w:sz="0" w:space="0" w:color="auto"/>
                <w:bottom w:val="none" w:sz="0" w:space="0" w:color="auto"/>
                <w:right w:val="none" w:sz="0" w:space="0" w:color="auto"/>
              </w:divBdr>
            </w:div>
            <w:div w:id="4374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6032">
      <w:bodyDiv w:val="1"/>
      <w:marLeft w:val="0"/>
      <w:marRight w:val="0"/>
      <w:marTop w:val="0"/>
      <w:marBottom w:val="0"/>
      <w:divBdr>
        <w:top w:val="none" w:sz="0" w:space="0" w:color="auto"/>
        <w:left w:val="none" w:sz="0" w:space="0" w:color="auto"/>
        <w:bottom w:val="none" w:sz="0" w:space="0" w:color="auto"/>
        <w:right w:val="none" w:sz="0" w:space="0" w:color="auto"/>
      </w:divBdr>
    </w:div>
    <w:div w:id="1076589912">
      <w:bodyDiv w:val="1"/>
      <w:marLeft w:val="0"/>
      <w:marRight w:val="0"/>
      <w:marTop w:val="0"/>
      <w:marBottom w:val="0"/>
      <w:divBdr>
        <w:top w:val="none" w:sz="0" w:space="0" w:color="auto"/>
        <w:left w:val="none" w:sz="0" w:space="0" w:color="auto"/>
        <w:bottom w:val="none" w:sz="0" w:space="0" w:color="auto"/>
        <w:right w:val="none" w:sz="0" w:space="0" w:color="auto"/>
      </w:divBdr>
      <w:divsChild>
        <w:div w:id="1737167495">
          <w:marLeft w:val="0"/>
          <w:marRight w:val="0"/>
          <w:marTop w:val="0"/>
          <w:marBottom w:val="0"/>
          <w:divBdr>
            <w:top w:val="none" w:sz="0" w:space="0" w:color="auto"/>
            <w:left w:val="none" w:sz="0" w:space="0" w:color="auto"/>
            <w:bottom w:val="none" w:sz="0" w:space="0" w:color="auto"/>
            <w:right w:val="none" w:sz="0" w:space="0" w:color="auto"/>
          </w:divBdr>
          <w:divsChild>
            <w:div w:id="5052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8955">
      <w:bodyDiv w:val="1"/>
      <w:marLeft w:val="0"/>
      <w:marRight w:val="0"/>
      <w:marTop w:val="0"/>
      <w:marBottom w:val="0"/>
      <w:divBdr>
        <w:top w:val="none" w:sz="0" w:space="0" w:color="auto"/>
        <w:left w:val="none" w:sz="0" w:space="0" w:color="auto"/>
        <w:bottom w:val="none" w:sz="0" w:space="0" w:color="auto"/>
        <w:right w:val="none" w:sz="0" w:space="0" w:color="auto"/>
      </w:divBdr>
    </w:div>
    <w:div w:id="1652174601">
      <w:bodyDiv w:val="1"/>
      <w:marLeft w:val="0"/>
      <w:marRight w:val="0"/>
      <w:marTop w:val="0"/>
      <w:marBottom w:val="0"/>
      <w:divBdr>
        <w:top w:val="none" w:sz="0" w:space="0" w:color="auto"/>
        <w:left w:val="none" w:sz="0" w:space="0" w:color="auto"/>
        <w:bottom w:val="none" w:sz="0" w:space="0" w:color="auto"/>
        <w:right w:val="none" w:sz="0" w:space="0" w:color="auto"/>
      </w:divBdr>
    </w:div>
    <w:div w:id="206336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4133549/"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pmc.ncbi.nlm.nih.gov/articles/PMC45377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mc.ncbi.nlm.nih.gov/articles/PMC11526606/" TargetMode="External"/><Relationship Id="rId11" Type="http://schemas.openxmlformats.org/officeDocument/2006/relationships/hyperlink" Target="https://journals.plos.org/plosone/article?id=10.1371/journal.pone.0252148" TargetMode="External"/><Relationship Id="rId5" Type="http://schemas.openxmlformats.org/officeDocument/2006/relationships/webSettings" Target="webSettings.xml"/><Relationship Id="rId10" Type="http://schemas.openxmlformats.org/officeDocument/2006/relationships/hyperlink" Target="https://pmc.ncbi.nlm.nih.gov/articles/PMC12078212/" TargetMode="External"/><Relationship Id="rId4" Type="http://schemas.openxmlformats.org/officeDocument/2006/relationships/settings" Target="settings.xml"/><Relationship Id="rId9" Type="http://schemas.openxmlformats.org/officeDocument/2006/relationships/hyperlink" Target="https://pmc.ncbi.nlm.nih.gov/articles/PMC8177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2025-07-19T18:09:00Z</dcterms:created>
  <dcterms:modified xsi:type="dcterms:W3CDTF">2025-07-20T18:37:00Z</dcterms:modified>
</cp:coreProperties>
</file>