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C6C" w:rsidRPr="00BD1C6C" w:rsidRDefault="00BD1C6C" w:rsidP="00BD1C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kern w:val="36"/>
          <w:sz w:val="48"/>
          <w:szCs w:val="48"/>
          <w:lang w:eastAsia="en-IN"/>
        </w:rPr>
      </w:pPr>
      <w:r w:rsidRPr="00BD1C6C">
        <w:rPr>
          <w:rFonts w:ascii="Segoe UI" w:eastAsia="Times New Roman" w:hAnsi="Segoe UI" w:cs="Segoe UI"/>
          <w:b/>
          <w:bCs/>
          <w:kern w:val="36"/>
          <w:sz w:val="48"/>
          <w:szCs w:val="48"/>
          <w:lang w:eastAsia="en-IN"/>
        </w:rPr>
        <w:t>Predicting Lung Injury for Treatment or Transplantation Decisions</w:t>
      </w:r>
    </w:p>
    <w:p w:rsidR="00BD1C6C" w:rsidRPr="00BD1C6C" w:rsidRDefault="00BD1C6C" w:rsidP="00BD1C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sz w:val="36"/>
          <w:szCs w:val="36"/>
          <w:lang w:eastAsia="en-IN"/>
        </w:rPr>
      </w:pPr>
      <w:r w:rsidRPr="00BD1C6C">
        <w:rPr>
          <w:rFonts w:ascii="fkGrotesk Fallback" w:eastAsia="Times New Roman" w:hAnsi="fkGrotesk Fallback" w:cs="Times New Roman"/>
          <w:b/>
          <w:bCs/>
          <w:sz w:val="36"/>
          <w:szCs w:val="36"/>
          <w:lang w:eastAsia="en-IN"/>
        </w:rPr>
        <w:t>Can Lung Injury Prediction Guide Treatment or Transplantation?</w:t>
      </w:r>
    </w:p>
    <w:p w:rsidR="00BD1C6C" w:rsidRPr="00BD1C6C" w:rsidRDefault="00BD1C6C" w:rsidP="00BD1C6C">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lang w:eastAsia="en-IN"/>
        </w:rPr>
      </w:pPr>
      <w:r w:rsidRPr="00BD1C6C">
        <w:rPr>
          <w:rFonts w:ascii="Segoe UI" w:eastAsia="Times New Roman" w:hAnsi="Segoe UI" w:cs="Segoe UI"/>
          <w:sz w:val="24"/>
          <w:szCs w:val="24"/>
          <w:lang w:eastAsia="en-IN"/>
        </w:rPr>
        <w:t xml:space="preserve"> </w:t>
      </w:r>
      <w:proofErr w:type="gramStart"/>
      <w:r w:rsidRPr="00BD1C6C">
        <w:rPr>
          <w:rFonts w:ascii="Segoe UI" w:eastAsia="Times New Roman" w:hAnsi="Segoe UI" w:cs="Segoe UI"/>
          <w:sz w:val="24"/>
          <w:szCs w:val="24"/>
          <w:lang w:eastAsia="en-IN"/>
        </w:rPr>
        <w:t>recent</w:t>
      </w:r>
      <w:proofErr w:type="gramEnd"/>
      <w:r w:rsidRPr="00BD1C6C">
        <w:rPr>
          <w:rFonts w:ascii="Segoe UI" w:eastAsia="Times New Roman" w:hAnsi="Segoe UI" w:cs="Segoe UI"/>
          <w:sz w:val="24"/>
          <w:szCs w:val="24"/>
          <w:lang w:eastAsia="en-IN"/>
        </w:rPr>
        <w:t xml:space="preserve"> advances in artificial intelligence (AI) and machine learning (ML) have made it increasingly possible to predict the severity and progression of lung injuries using various data sources, such as CT scans, blood biomarkers, and clinical variables. These predictions can help guide whether an injury can be managed with treatments or if a lung transplant might be necessary.</w:t>
      </w:r>
    </w:p>
    <w:p w:rsidR="00BD1C6C" w:rsidRPr="00BD1C6C" w:rsidRDefault="00BD1C6C" w:rsidP="00BD1C6C">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BD1C6C">
        <w:rPr>
          <w:rFonts w:ascii="Segoe UI" w:eastAsia="Times New Roman" w:hAnsi="Segoe UI" w:cs="Segoe UI"/>
          <w:b/>
          <w:bCs/>
          <w:sz w:val="24"/>
          <w:szCs w:val="24"/>
          <w:bdr w:val="single" w:sz="2" w:space="0" w:color="E5E7EB" w:frame="1"/>
          <w:lang w:eastAsia="en-IN"/>
        </w:rPr>
        <w:t>Treatment Decision:</w:t>
      </w:r>
      <w:r w:rsidRPr="00BD1C6C">
        <w:rPr>
          <w:rFonts w:ascii="Segoe UI" w:eastAsia="Times New Roman" w:hAnsi="Segoe UI" w:cs="Segoe UI"/>
          <w:sz w:val="24"/>
          <w:szCs w:val="24"/>
          <w:lang w:eastAsia="en-IN"/>
        </w:rPr>
        <w:t> AI can assess the extent of lung injury and predict if patients are likely to respond to standard treatments (medication, oxygen support, ventilation) or if their condition may worsen.</w:t>
      </w:r>
    </w:p>
    <w:p w:rsidR="00BD1C6C" w:rsidRPr="00BD1C6C" w:rsidRDefault="00BD1C6C" w:rsidP="00BD1C6C">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BD1C6C">
        <w:rPr>
          <w:rFonts w:ascii="Segoe UI" w:eastAsia="Times New Roman" w:hAnsi="Segoe UI" w:cs="Segoe UI"/>
          <w:b/>
          <w:bCs/>
          <w:sz w:val="24"/>
          <w:szCs w:val="24"/>
          <w:bdr w:val="single" w:sz="2" w:space="0" w:color="E5E7EB" w:frame="1"/>
          <w:lang w:eastAsia="en-IN"/>
        </w:rPr>
        <w:t>Transplant Evaluation:</w:t>
      </w:r>
      <w:r w:rsidRPr="00BD1C6C">
        <w:rPr>
          <w:rFonts w:ascii="Segoe UI" w:eastAsia="Times New Roman" w:hAnsi="Segoe UI" w:cs="Segoe UI"/>
          <w:sz w:val="24"/>
          <w:szCs w:val="24"/>
          <w:lang w:eastAsia="en-IN"/>
        </w:rPr>
        <w:t xml:space="preserve"> ML algorithms can </w:t>
      </w:r>
      <w:proofErr w:type="spellStart"/>
      <w:r w:rsidRPr="00BD1C6C">
        <w:rPr>
          <w:rFonts w:ascii="Segoe UI" w:eastAsia="Times New Roman" w:hAnsi="Segoe UI" w:cs="Segoe UI"/>
          <w:sz w:val="24"/>
          <w:szCs w:val="24"/>
          <w:lang w:eastAsia="en-IN"/>
        </w:rPr>
        <w:t>analyze</w:t>
      </w:r>
      <w:proofErr w:type="spellEnd"/>
      <w:r w:rsidRPr="00BD1C6C">
        <w:rPr>
          <w:rFonts w:ascii="Segoe UI" w:eastAsia="Times New Roman" w:hAnsi="Segoe UI" w:cs="Segoe UI"/>
          <w:sz w:val="24"/>
          <w:szCs w:val="24"/>
          <w:lang w:eastAsia="en-IN"/>
        </w:rPr>
        <w:t xml:space="preserve"> clinical, imaging, and laboratory data to help determine when a patient’s lung injury is so severe that transplantation should be considered, optimizing donor-recipient matching and predicting both short-term and long-term transplant outcomes.</w:t>
      </w:r>
    </w:p>
    <w:p w:rsidR="00BD1C6C" w:rsidRPr="00BD1C6C" w:rsidRDefault="00BD1C6C" w:rsidP="00BD1C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sz w:val="36"/>
          <w:szCs w:val="36"/>
          <w:lang w:eastAsia="en-IN"/>
        </w:rPr>
      </w:pPr>
      <w:r w:rsidRPr="00BD1C6C">
        <w:rPr>
          <w:rFonts w:ascii="fkGrotesk Fallback" w:eastAsia="Times New Roman" w:hAnsi="fkGrotesk Fallback" w:cs="Times New Roman"/>
          <w:b/>
          <w:bCs/>
          <w:sz w:val="36"/>
          <w:szCs w:val="36"/>
          <w:lang w:eastAsia="en-IN"/>
        </w:rPr>
        <w:t>How Prediction Models Work</w:t>
      </w:r>
    </w:p>
    <w:p w:rsidR="00BD1C6C" w:rsidRPr="00BD1C6C" w:rsidRDefault="00BD1C6C" w:rsidP="00BD1C6C">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4"/>
          <w:szCs w:val="24"/>
          <w:lang w:eastAsia="en-IN"/>
        </w:rPr>
      </w:pPr>
      <w:r w:rsidRPr="00BD1C6C">
        <w:rPr>
          <w:rFonts w:ascii="Segoe UI" w:eastAsia="Times New Roman" w:hAnsi="Segoe UI" w:cs="Segoe UI"/>
          <w:sz w:val="24"/>
          <w:szCs w:val="24"/>
          <w:lang w:eastAsia="en-IN"/>
        </w:rPr>
        <w:t>AI and ML models are trained on large datasets of patient cases—including images, laboratory results, and treatment outcomes. They identify patterns associated with recovery versus worsening, and can output:</w:t>
      </w:r>
    </w:p>
    <w:p w:rsidR="00BD1C6C" w:rsidRPr="00BD1C6C" w:rsidRDefault="00BD1C6C" w:rsidP="00BD1C6C">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BD1C6C">
        <w:rPr>
          <w:rFonts w:ascii="Segoe UI" w:eastAsia="Times New Roman" w:hAnsi="Segoe UI" w:cs="Segoe UI"/>
          <w:b/>
          <w:bCs/>
          <w:sz w:val="24"/>
          <w:szCs w:val="24"/>
          <w:bdr w:val="single" w:sz="2" w:space="0" w:color="E5E7EB" w:frame="1"/>
          <w:lang w:eastAsia="en-IN"/>
        </w:rPr>
        <w:t>Risk scores</w:t>
      </w:r>
      <w:r w:rsidRPr="00BD1C6C">
        <w:rPr>
          <w:rFonts w:ascii="Segoe UI" w:eastAsia="Times New Roman" w:hAnsi="Segoe UI" w:cs="Segoe UI"/>
          <w:sz w:val="24"/>
          <w:szCs w:val="24"/>
          <w:lang w:eastAsia="en-IN"/>
        </w:rPr>
        <w:t> for progression to severe conditions like ARDS (acute respiratory distress syndrome).</w:t>
      </w:r>
    </w:p>
    <w:p w:rsidR="00BD1C6C" w:rsidRPr="00BD1C6C" w:rsidRDefault="00BD1C6C" w:rsidP="00BD1C6C">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BD1C6C">
        <w:rPr>
          <w:rFonts w:ascii="Segoe UI" w:eastAsia="Times New Roman" w:hAnsi="Segoe UI" w:cs="Segoe UI"/>
          <w:b/>
          <w:bCs/>
          <w:sz w:val="24"/>
          <w:szCs w:val="24"/>
          <w:bdr w:val="single" w:sz="2" w:space="0" w:color="E5E7EB" w:frame="1"/>
          <w:lang w:eastAsia="en-IN"/>
        </w:rPr>
        <w:t>Probability estimates</w:t>
      </w:r>
      <w:r w:rsidRPr="00BD1C6C">
        <w:rPr>
          <w:rFonts w:ascii="Segoe UI" w:eastAsia="Times New Roman" w:hAnsi="Segoe UI" w:cs="Segoe UI"/>
          <w:sz w:val="24"/>
          <w:szCs w:val="24"/>
          <w:lang w:eastAsia="en-IN"/>
        </w:rPr>
        <w:t> of poor outcomes (e.g., high risk of mortality or need for transplantation).</w:t>
      </w:r>
    </w:p>
    <w:p w:rsidR="00BD1C6C" w:rsidRPr="00BD1C6C" w:rsidRDefault="00BD1C6C" w:rsidP="00BD1C6C">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BD1C6C">
        <w:rPr>
          <w:rFonts w:ascii="Segoe UI" w:eastAsia="Times New Roman" w:hAnsi="Segoe UI" w:cs="Segoe UI"/>
          <w:b/>
          <w:bCs/>
          <w:sz w:val="24"/>
          <w:szCs w:val="24"/>
          <w:bdr w:val="single" w:sz="2" w:space="0" w:color="E5E7EB" w:frame="1"/>
          <w:lang w:eastAsia="en-IN"/>
        </w:rPr>
        <w:t>Treatment guidance</w:t>
      </w:r>
      <w:r w:rsidRPr="00BD1C6C">
        <w:rPr>
          <w:rFonts w:ascii="Segoe UI" w:eastAsia="Times New Roman" w:hAnsi="Segoe UI" w:cs="Segoe UI"/>
          <w:sz w:val="24"/>
          <w:szCs w:val="24"/>
          <w:lang w:eastAsia="en-IN"/>
        </w:rPr>
        <w:t> about which patients may benefit from aggressive intervention versus those where transplantation may be more appropriate.</w:t>
      </w:r>
    </w:p>
    <w:p w:rsidR="00BD1C6C" w:rsidRPr="00BD1C6C" w:rsidRDefault="00BD1C6C" w:rsidP="00BD1C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sz w:val="36"/>
          <w:szCs w:val="36"/>
          <w:lang w:eastAsia="en-IN"/>
        </w:rPr>
      </w:pPr>
      <w:r w:rsidRPr="00BD1C6C">
        <w:rPr>
          <w:rFonts w:ascii="fkGrotesk Fallback" w:eastAsia="Times New Roman" w:hAnsi="fkGrotesk Fallback" w:cs="Times New Roman"/>
          <w:b/>
          <w:bCs/>
          <w:sz w:val="36"/>
          <w:szCs w:val="36"/>
          <w:lang w:eastAsia="en-IN"/>
        </w:rPr>
        <w:t>What Data Is Used?</w:t>
      </w:r>
    </w:p>
    <w:p w:rsidR="00BD1C6C" w:rsidRPr="00BD1C6C" w:rsidRDefault="00BD1C6C" w:rsidP="00BD1C6C">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BD1C6C">
        <w:rPr>
          <w:rFonts w:ascii="Segoe UI" w:eastAsia="Times New Roman" w:hAnsi="Segoe UI" w:cs="Segoe UI"/>
          <w:b/>
          <w:bCs/>
          <w:sz w:val="24"/>
          <w:szCs w:val="24"/>
          <w:bdr w:val="single" w:sz="2" w:space="0" w:color="E5E7EB" w:frame="1"/>
          <w:lang w:eastAsia="en-IN"/>
        </w:rPr>
        <w:t>Imaging:</w:t>
      </w:r>
      <w:r w:rsidRPr="00BD1C6C">
        <w:rPr>
          <w:rFonts w:ascii="Segoe UI" w:eastAsia="Times New Roman" w:hAnsi="Segoe UI" w:cs="Segoe UI"/>
          <w:sz w:val="24"/>
          <w:szCs w:val="24"/>
          <w:lang w:eastAsia="en-IN"/>
        </w:rPr>
        <w:t> CT scans, X-rays, and their quantitative analysis.</w:t>
      </w:r>
    </w:p>
    <w:p w:rsidR="00BD1C6C" w:rsidRPr="00BD1C6C" w:rsidRDefault="00BD1C6C" w:rsidP="00BD1C6C">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BD1C6C">
        <w:rPr>
          <w:rFonts w:ascii="Segoe UI" w:eastAsia="Times New Roman" w:hAnsi="Segoe UI" w:cs="Segoe UI"/>
          <w:b/>
          <w:bCs/>
          <w:sz w:val="24"/>
          <w:szCs w:val="24"/>
          <w:bdr w:val="single" w:sz="2" w:space="0" w:color="E5E7EB" w:frame="1"/>
          <w:lang w:eastAsia="en-IN"/>
        </w:rPr>
        <w:t>Laboratory Tests:</w:t>
      </w:r>
      <w:r w:rsidRPr="00BD1C6C">
        <w:rPr>
          <w:rFonts w:ascii="Segoe UI" w:eastAsia="Times New Roman" w:hAnsi="Segoe UI" w:cs="Segoe UI"/>
          <w:sz w:val="24"/>
          <w:szCs w:val="24"/>
          <w:lang w:eastAsia="en-IN"/>
        </w:rPr>
        <w:t> Blood biomarkers, lung function tests, and electrophysiology.</w:t>
      </w:r>
    </w:p>
    <w:p w:rsidR="00BD1C6C" w:rsidRPr="00BD1C6C" w:rsidRDefault="00BD1C6C" w:rsidP="00BD1C6C">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BD1C6C">
        <w:rPr>
          <w:rFonts w:ascii="Segoe UI" w:eastAsia="Times New Roman" w:hAnsi="Segoe UI" w:cs="Segoe UI"/>
          <w:b/>
          <w:bCs/>
          <w:sz w:val="24"/>
          <w:szCs w:val="24"/>
          <w:bdr w:val="single" w:sz="2" w:space="0" w:color="E5E7EB" w:frame="1"/>
          <w:lang w:eastAsia="en-IN"/>
        </w:rPr>
        <w:t>Clinical Variables:</w:t>
      </w:r>
      <w:r w:rsidRPr="00BD1C6C">
        <w:rPr>
          <w:rFonts w:ascii="Segoe UI" w:eastAsia="Times New Roman" w:hAnsi="Segoe UI" w:cs="Segoe UI"/>
          <w:sz w:val="24"/>
          <w:szCs w:val="24"/>
          <w:lang w:eastAsia="en-IN"/>
        </w:rPr>
        <w:t> Age, disease severity markers, and comorbidities.</w:t>
      </w:r>
    </w:p>
    <w:p w:rsidR="00BD1C6C" w:rsidRPr="00BD1C6C" w:rsidRDefault="00BD1C6C" w:rsidP="00BD1C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sz w:val="36"/>
          <w:szCs w:val="36"/>
          <w:lang w:eastAsia="en-IN"/>
        </w:rPr>
      </w:pPr>
      <w:r w:rsidRPr="00BD1C6C">
        <w:rPr>
          <w:rFonts w:ascii="fkGrotesk Fallback" w:eastAsia="Times New Roman" w:hAnsi="fkGrotesk Fallback" w:cs="Times New Roman"/>
          <w:b/>
          <w:bCs/>
          <w:sz w:val="36"/>
          <w:szCs w:val="36"/>
          <w:lang w:eastAsia="en-IN"/>
        </w:rPr>
        <w:t>Complexity of Predicting Lung Injury and Outcomes</w:t>
      </w:r>
    </w:p>
    <w:p w:rsidR="00BD1C6C" w:rsidRPr="00BD1C6C" w:rsidRDefault="00BD1C6C" w:rsidP="00BD1C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sz w:val="36"/>
          <w:szCs w:val="36"/>
          <w:lang w:eastAsia="en-IN"/>
        </w:rPr>
      </w:pPr>
      <w:r w:rsidRPr="00BD1C6C">
        <w:rPr>
          <w:rFonts w:ascii="fkGrotesk Fallback" w:eastAsia="Times New Roman" w:hAnsi="fkGrotesk Fallback" w:cs="Times New Roman"/>
          <w:b/>
          <w:bCs/>
          <w:sz w:val="36"/>
          <w:szCs w:val="36"/>
          <w:lang w:eastAsia="en-IN"/>
        </w:rPr>
        <w:t>Key Complexities</w:t>
      </w:r>
    </w:p>
    <w:tbl>
      <w:tblPr>
        <w:tblW w:w="11100" w:type="dxa"/>
        <w:tblCellMar>
          <w:top w:w="15" w:type="dxa"/>
          <w:left w:w="15" w:type="dxa"/>
          <w:bottom w:w="15" w:type="dxa"/>
          <w:right w:w="15" w:type="dxa"/>
        </w:tblCellMar>
        <w:tblLook w:val="04A0" w:firstRow="1" w:lastRow="0" w:firstColumn="1" w:lastColumn="0" w:noHBand="0" w:noVBand="1"/>
      </w:tblPr>
      <w:tblGrid>
        <w:gridCol w:w="3580"/>
        <w:gridCol w:w="7520"/>
      </w:tblGrid>
      <w:tr w:rsidR="00BD1C6C" w:rsidRPr="00BD1C6C" w:rsidTr="00BD1C6C">
        <w:trPr>
          <w:tblHeader/>
        </w:trPr>
        <w:tc>
          <w:tcPr>
            <w:tcW w:w="0" w:type="auto"/>
            <w:tcMar>
              <w:top w:w="120" w:type="dxa"/>
              <w:left w:w="120" w:type="dxa"/>
              <w:bottom w:w="120" w:type="dxa"/>
              <w:right w:w="120" w:type="dxa"/>
            </w:tcMar>
            <w:hideMark/>
          </w:tcPr>
          <w:p w:rsidR="00BD1C6C" w:rsidRPr="00BD1C6C" w:rsidRDefault="00BD1C6C" w:rsidP="00BD1C6C">
            <w:pPr>
              <w:spacing w:before="240" w:after="240" w:line="240" w:lineRule="auto"/>
              <w:rPr>
                <w:rFonts w:ascii="Times New Roman" w:eastAsia="Times New Roman" w:hAnsi="Times New Roman" w:cs="Times New Roman"/>
                <w:b/>
                <w:bCs/>
                <w:sz w:val="21"/>
                <w:szCs w:val="21"/>
                <w:lang w:eastAsia="en-IN"/>
              </w:rPr>
            </w:pPr>
            <w:r w:rsidRPr="00BD1C6C">
              <w:rPr>
                <w:rFonts w:ascii="Times New Roman" w:eastAsia="Times New Roman" w:hAnsi="Times New Roman" w:cs="Times New Roman"/>
                <w:b/>
                <w:bCs/>
                <w:sz w:val="21"/>
                <w:szCs w:val="21"/>
                <w:lang w:eastAsia="en-IN"/>
              </w:rPr>
              <w:lastRenderedPageBreak/>
              <w:t>Factor</w:t>
            </w:r>
          </w:p>
        </w:tc>
        <w:tc>
          <w:tcPr>
            <w:tcW w:w="0" w:type="auto"/>
            <w:tcMar>
              <w:top w:w="120" w:type="dxa"/>
              <w:left w:w="120" w:type="dxa"/>
              <w:bottom w:w="120" w:type="dxa"/>
              <w:right w:w="120" w:type="dxa"/>
            </w:tcMar>
            <w:hideMark/>
          </w:tcPr>
          <w:p w:rsidR="00BD1C6C" w:rsidRPr="00BD1C6C" w:rsidRDefault="00BD1C6C" w:rsidP="00BD1C6C">
            <w:pPr>
              <w:spacing w:before="240" w:after="240" w:line="240" w:lineRule="auto"/>
              <w:rPr>
                <w:rFonts w:ascii="Times New Roman" w:eastAsia="Times New Roman" w:hAnsi="Times New Roman" w:cs="Times New Roman"/>
                <w:b/>
                <w:bCs/>
                <w:sz w:val="21"/>
                <w:szCs w:val="21"/>
                <w:lang w:eastAsia="en-IN"/>
              </w:rPr>
            </w:pPr>
            <w:r w:rsidRPr="00BD1C6C">
              <w:rPr>
                <w:rFonts w:ascii="Times New Roman" w:eastAsia="Times New Roman" w:hAnsi="Times New Roman" w:cs="Times New Roman"/>
                <w:b/>
                <w:bCs/>
                <w:sz w:val="21"/>
                <w:szCs w:val="21"/>
                <w:lang w:eastAsia="en-IN"/>
              </w:rPr>
              <w:t>Why It's Challenging</w:t>
            </w:r>
          </w:p>
        </w:tc>
      </w:tr>
      <w:tr w:rsidR="00BD1C6C" w:rsidRPr="00BD1C6C" w:rsidTr="00BD1C6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Data Quality &amp; Variety</w:t>
            </w:r>
          </w:p>
        </w:t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Medical data are noisy, heterogeneous, and often incomplete</w:t>
            </w:r>
          </w:p>
        </w:tc>
      </w:tr>
      <w:tr w:rsidR="00BD1C6C" w:rsidRPr="00BD1C6C" w:rsidTr="00BD1C6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Imaging Interpretation</w:t>
            </w:r>
          </w:p>
        </w:t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Requires robust models to identify many subtle features</w:t>
            </w:r>
          </w:p>
        </w:tc>
      </w:tr>
      <w:tr w:rsidR="00BD1C6C" w:rsidRPr="00BD1C6C" w:rsidTr="00BD1C6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Biological Complexity</w:t>
            </w:r>
          </w:p>
        </w:t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Lung injury arises from various causes and mechanisms</w:t>
            </w:r>
          </w:p>
        </w:tc>
      </w:tr>
      <w:tr w:rsidR="00BD1C6C" w:rsidRPr="00BD1C6C" w:rsidTr="00BD1C6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Outcome Prediction</w:t>
            </w:r>
          </w:p>
        </w:t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Relies on both historical data and real-time patient status</w:t>
            </w:r>
          </w:p>
        </w:tc>
      </w:tr>
      <w:tr w:rsidR="00BD1C6C" w:rsidRPr="00BD1C6C" w:rsidTr="00BD1C6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Ethical/Regulatory Aspects</w:t>
            </w:r>
          </w:p>
        </w:t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Decisions can affect life or death; needs high safety levels</w:t>
            </w:r>
          </w:p>
        </w:tc>
      </w:tr>
      <w:tr w:rsidR="00BD1C6C" w:rsidRPr="00BD1C6C" w:rsidTr="00BD1C6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Integration into Workflow</w:t>
            </w:r>
          </w:p>
        </w:t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Clinicians must trust and use model suggestions responsibly</w:t>
            </w:r>
          </w:p>
        </w:tc>
      </w:tr>
      <w:tr w:rsidR="00BD1C6C" w:rsidRPr="00BD1C6C" w:rsidTr="00BD1C6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Need for Validation</w:t>
            </w:r>
          </w:p>
        </w:t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Models must be tested across multiple hospitals/populations</w:t>
            </w:r>
          </w:p>
        </w:tc>
      </w:tr>
    </w:tbl>
    <w:p w:rsidR="00BD1C6C" w:rsidRPr="00BD1C6C" w:rsidRDefault="00BD1C6C" w:rsidP="00BD1C6C">
      <w:pPr>
        <w:numPr>
          <w:ilvl w:val="0"/>
          <w:numId w:val="4"/>
        </w:numPr>
        <w:pBdr>
          <w:top w:val="single" w:sz="2" w:space="0" w:color="E5E7EB"/>
          <w:left w:val="single" w:sz="2" w:space="0"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BD1C6C">
        <w:rPr>
          <w:rFonts w:ascii="Segoe UI" w:eastAsia="Times New Roman" w:hAnsi="Segoe UI" w:cs="Segoe UI"/>
          <w:b/>
          <w:bCs/>
          <w:sz w:val="24"/>
          <w:szCs w:val="24"/>
          <w:bdr w:val="single" w:sz="2" w:space="0" w:color="E5E7EB" w:frame="1"/>
          <w:lang w:eastAsia="en-IN"/>
        </w:rPr>
        <w:t>Treatment vs. Transplantation:</w:t>
      </w:r>
      <w:r w:rsidRPr="00BD1C6C">
        <w:rPr>
          <w:rFonts w:ascii="Segoe UI" w:eastAsia="Times New Roman" w:hAnsi="Segoe UI" w:cs="Segoe UI"/>
          <w:sz w:val="24"/>
          <w:szCs w:val="24"/>
          <w:lang w:eastAsia="en-IN"/>
        </w:rPr>
        <w:t> The boundary between treatable and untreatable injury is not always clear. Models must synthesize all data and predict which patients will benefit from continued medical treatment and which will require transplantation.</w:t>
      </w:r>
    </w:p>
    <w:p w:rsidR="00BD1C6C" w:rsidRPr="00BD1C6C" w:rsidRDefault="00BD1C6C" w:rsidP="00BD1C6C">
      <w:pPr>
        <w:numPr>
          <w:ilvl w:val="0"/>
          <w:numId w:val="4"/>
        </w:numPr>
        <w:pBdr>
          <w:top w:val="single" w:sz="2" w:space="0" w:color="E5E7EB"/>
          <w:left w:val="single" w:sz="2" w:space="0"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BD1C6C">
        <w:rPr>
          <w:rFonts w:ascii="Segoe UI" w:eastAsia="Times New Roman" w:hAnsi="Segoe UI" w:cs="Segoe UI"/>
          <w:b/>
          <w:bCs/>
          <w:sz w:val="24"/>
          <w:szCs w:val="24"/>
          <w:bdr w:val="single" w:sz="2" w:space="0" w:color="E5E7EB" w:frame="1"/>
          <w:lang w:eastAsia="en-IN"/>
        </w:rPr>
        <w:t>Outcome Uncertainty:</w:t>
      </w:r>
      <w:r w:rsidRPr="00BD1C6C">
        <w:rPr>
          <w:rFonts w:ascii="Segoe UI" w:eastAsia="Times New Roman" w:hAnsi="Segoe UI" w:cs="Segoe UI"/>
          <w:sz w:val="24"/>
          <w:szCs w:val="24"/>
          <w:lang w:eastAsia="en-IN"/>
        </w:rPr>
        <w:t> Even the best models have limitations and are influenced by rare complications, variable responses to drugs, and unknown future trajectories.</w:t>
      </w:r>
    </w:p>
    <w:p w:rsidR="00BD1C6C" w:rsidRPr="00BD1C6C" w:rsidRDefault="00BD1C6C" w:rsidP="00BD1C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sz w:val="36"/>
          <w:szCs w:val="36"/>
          <w:lang w:eastAsia="en-IN"/>
        </w:rPr>
      </w:pPr>
      <w:r w:rsidRPr="00BD1C6C">
        <w:rPr>
          <w:rFonts w:ascii="fkGrotesk Fallback" w:eastAsia="Times New Roman" w:hAnsi="fkGrotesk Fallback" w:cs="Times New Roman"/>
          <w:b/>
          <w:bCs/>
          <w:sz w:val="36"/>
          <w:szCs w:val="36"/>
          <w:lang w:eastAsia="en-IN"/>
        </w:rPr>
        <w:t>Application to Transplantation</w:t>
      </w:r>
    </w:p>
    <w:p w:rsidR="00BD1C6C" w:rsidRPr="00BD1C6C" w:rsidRDefault="00BD1C6C" w:rsidP="00BD1C6C">
      <w:pPr>
        <w:numPr>
          <w:ilvl w:val="0"/>
          <w:numId w:val="5"/>
        </w:numPr>
        <w:pBdr>
          <w:top w:val="single" w:sz="2" w:space="0" w:color="E5E7EB"/>
          <w:left w:val="single" w:sz="2" w:space="0"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BD1C6C">
        <w:rPr>
          <w:rFonts w:ascii="Segoe UI" w:eastAsia="Times New Roman" w:hAnsi="Segoe UI" w:cs="Segoe UI"/>
          <w:b/>
          <w:bCs/>
          <w:sz w:val="24"/>
          <w:szCs w:val="24"/>
          <w:bdr w:val="single" w:sz="2" w:space="0" w:color="E5E7EB" w:frame="1"/>
          <w:lang w:eastAsia="en-IN"/>
        </w:rPr>
        <w:t>Donor Lung Assessment:</w:t>
      </w:r>
      <w:r w:rsidRPr="00BD1C6C">
        <w:rPr>
          <w:rFonts w:ascii="Segoe UI" w:eastAsia="Times New Roman" w:hAnsi="Segoe UI" w:cs="Segoe UI"/>
          <w:sz w:val="24"/>
          <w:szCs w:val="24"/>
          <w:lang w:eastAsia="en-IN"/>
        </w:rPr>
        <w:t> AI can help identify suitable donor lungs and predict risk of transplant failure.</w:t>
      </w:r>
    </w:p>
    <w:p w:rsidR="00BD1C6C" w:rsidRPr="00BD1C6C" w:rsidRDefault="00BD1C6C" w:rsidP="00BD1C6C">
      <w:pPr>
        <w:numPr>
          <w:ilvl w:val="0"/>
          <w:numId w:val="5"/>
        </w:numPr>
        <w:pBdr>
          <w:top w:val="single" w:sz="2" w:space="0" w:color="E5E7EB"/>
          <w:left w:val="single" w:sz="2" w:space="0"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BD1C6C">
        <w:rPr>
          <w:rFonts w:ascii="Segoe UI" w:eastAsia="Times New Roman" w:hAnsi="Segoe UI" w:cs="Segoe UI"/>
          <w:b/>
          <w:bCs/>
          <w:sz w:val="24"/>
          <w:szCs w:val="24"/>
          <w:bdr w:val="single" w:sz="2" w:space="0" w:color="E5E7EB" w:frame="1"/>
          <w:lang w:eastAsia="en-IN"/>
        </w:rPr>
        <w:t>Recipient Matching:</w:t>
      </w:r>
      <w:r w:rsidRPr="00BD1C6C">
        <w:rPr>
          <w:rFonts w:ascii="Segoe UI" w:eastAsia="Times New Roman" w:hAnsi="Segoe UI" w:cs="Segoe UI"/>
          <w:sz w:val="24"/>
          <w:szCs w:val="24"/>
          <w:lang w:eastAsia="en-IN"/>
        </w:rPr>
        <w:t> ML models assess which patients are most likely to benefit from transplantation, considering urgency, compatibility, and predicted outcomes.</w:t>
      </w:r>
    </w:p>
    <w:p w:rsidR="00BD1C6C" w:rsidRPr="00BD1C6C" w:rsidRDefault="00BD1C6C" w:rsidP="00BD1C6C">
      <w:pPr>
        <w:numPr>
          <w:ilvl w:val="0"/>
          <w:numId w:val="5"/>
        </w:numPr>
        <w:pBdr>
          <w:top w:val="single" w:sz="2" w:space="0" w:color="E5E7EB"/>
          <w:left w:val="single" w:sz="2" w:space="0"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BD1C6C">
        <w:rPr>
          <w:rFonts w:ascii="Segoe UI" w:eastAsia="Times New Roman" w:hAnsi="Segoe UI" w:cs="Segoe UI"/>
          <w:b/>
          <w:bCs/>
          <w:sz w:val="24"/>
          <w:szCs w:val="24"/>
          <w:bdr w:val="single" w:sz="2" w:space="0" w:color="E5E7EB" w:frame="1"/>
          <w:lang w:eastAsia="en-IN"/>
        </w:rPr>
        <w:t>Post-Transplant Care:</w:t>
      </w:r>
      <w:r w:rsidRPr="00BD1C6C">
        <w:rPr>
          <w:rFonts w:ascii="Segoe UI" w:eastAsia="Times New Roman" w:hAnsi="Segoe UI" w:cs="Segoe UI"/>
          <w:sz w:val="24"/>
          <w:szCs w:val="24"/>
          <w:lang w:eastAsia="en-IN"/>
        </w:rPr>
        <w:t> AI can monitor for rejection or complications, helping to adjust treatments early for best results.</w:t>
      </w:r>
    </w:p>
    <w:p w:rsidR="00BD1C6C" w:rsidRPr="00BD1C6C" w:rsidRDefault="00BD1C6C" w:rsidP="00BD1C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sz w:val="36"/>
          <w:szCs w:val="36"/>
          <w:lang w:eastAsia="en-IN"/>
        </w:rPr>
      </w:pPr>
      <w:r w:rsidRPr="00BD1C6C">
        <w:rPr>
          <w:rFonts w:ascii="fkGrotesk Fallback" w:eastAsia="Times New Roman" w:hAnsi="fkGrotesk Fallback" w:cs="Times New Roman"/>
          <w:b/>
          <w:bCs/>
          <w:sz w:val="36"/>
          <w:szCs w:val="36"/>
          <w:lang w:eastAsia="en-IN"/>
        </w:rPr>
        <w:t>Summary Table: AI in Lung Injury Management</w:t>
      </w:r>
    </w:p>
    <w:tbl>
      <w:tblPr>
        <w:tblW w:w="11100" w:type="dxa"/>
        <w:tblCellMar>
          <w:top w:w="15" w:type="dxa"/>
          <w:left w:w="15" w:type="dxa"/>
          <w:bottom w:w="15" w:type="dxa"/>
          <w:right w:w="15" w:type="dxa"/>
        </w:tblCellMar>
        <w:tblLook w:val="04A0" w:firstRow="1" w:lastRow="0" w:firstColumn="1" w:lastColumn="0" w:noHBand="0" w:noVBand="1"/>
      </w:tblPr>
      <w:tblGrid>
        <w:gridCol w:w="2303"/>
        <w:gridCol w:w="2879"/>
        <w:gridCol w:w="1699"/>
        <w:gridCol w:w="4219"/>
      </w:tblGrid>
      <w:tr w:rsidR="00BD1C6C" w:rsidRPr="00BD1C6C" w:rsidTr="00BD1C6C">
        <w:trPr>
          <w:tblHeader/>
        </w:trPr>
        <w:tc>
          <w:tcPr>
            <w:tcW w:w="0" w:type="auto"/>
            <w:tcMar>
              <w:top w:w="120" w:type="dxa"/>
              <w:left w:w="120" w:type="dxa"/>
              <w:bottom w:w="120" w:type="dxa"/>
              <w:right w:w="120" w:type="dxa"/>
            </w:tcMar>
            <w:hideMark/>
          </w:tcPr>
          <w:p w:rsidR="00BD1C6C" w:rsidRPr="00BD1C6C" w:rsidRDefault="00BD1C6C" w:rsidP="00BD1C6C">
            <w:pPr>
              <w:spacing w:before="240" w:after="240" w:line="240" w:lineRule="auto"/>
              <w:rPr>
                <w:rFonts w:ascii="Times New Roman" w:eastAsia="Times New Roman" w:hAnsi="Times New Roman" w:cs="Times New Roman"/>
                <w:b/>
                <w:bCs/>
                <w:sz w:val="21"/>
                <w:szCs w:val="21"/>
                <w:lang w:eastAsia="en-IN"/>
              </w:rPr>
            </w:pPr>
            <w:r w:rsidRPr="00BD1C6C">
              <w:rPr>
                <w:rFonts w:ascii="Times New Roman" w:eastAsia="Times New Roman" w:hAnsi="Times New Roman" w:cs="Times New Roman"/>
                <w:b/>
                <w:bCs/>
                <w:sz w:val="21"/>
                <w:szCs w:val="21"/>
                <w:lang w:eastAsia="en-IN"/>
              </w:rPr>
              <w:lastRenderedPageBreak/>
              <w:t>Step</w:t>
            </w:r>
          </w:p>
        </w:tc>
        <w:tc>
          <w:tcPr>
            <w:tcW w:w="0" w:type="auto"/>
            <w:tcMar>
              <w:top w:w="120" w:type="dxa"/>
              <w:left w:w="120" w:type="dxa"/>
              <w:bottom w:w="120" w:type="dxa"/>
              <w:right w:w="120" w:type="dxa"/>
            </w:tcMar>
            <w:hideMark/>
          </w:tcPr>
          <w:p w:rsidR="00BD1C6C" w:rsidRPr="00BD1C6C" w:rsidRDefault="00BD1C6C" w:rsidP="00BD1C6C">
            <w:pPr>
              <w:spacing w:before="240" w:after="240" w:line="240" w:lineRule="auto"/>
              <w:rPr>
                <w:rFonts w:ascii="Times New Roman" w:eastAsia="Times New Roman" w:hAnsi="Times New Roman" w:cs="Times New Roman"/>
                <w:b/>
                <w:bCs/>
                <w:sz w:val="21"/>
                <w:szCs w:val="21"/>
                <w:lang w:eastAsia="en-IN"/>
              </w:rPr>
            </w:pPr>
            <w:r w:rsidRPr="00BD1C6C">
              <w:rPr>
                <w:rFonts w:ascii="Times New Roman" w:eastAsia="Times New Roman" w:hAnsi="Times New Roman" w:cs="Times New Roman"/>
                <w:b/>
                <w:bCs/>
                <w:sz w:val="21"/>
                <w:szCs w:val="21"/>
                <w:lang w:eastAsia="en-IN"/>
              </w:rPr>
              <w:t>AI/ML Use Case</w:t>
            </w:r>
          </w:p>
        </w:tc>
        <w:tc>
          <w:tcPr>
            <w:tcW w:w="0" w:type="auto"/>
            <w:tcMar>
              <w:top w:w="120" w:type="dxa"/>
              <w:left w:w="120" w:type="dxa"/>
              <w:bottom w:w="120" w:type="dxa"/>
              <w:right w:w="120" w:type="dxa"/>
            </w:tcMar>
            <w:hideMark/>
          </w:tcPr>
          <w:p w:rsidR="00BD1C6C" w:rsidRPr="00BD1C6C" w:rsidRDefault="00BD1C6C" w:rsidP="00BD1C6C">
            <w:pPr>
              <w:spacing w:before="240" w:after="240" w:line="240" w:lineRule="auto"/>
              <w:rPr>
                <w:rFonts w:ascii="Times New Roman" w:eastAsia="Times New Roman" w:hAnsi="Times New Roman" w:cs="Times New Roman"/>
                <w:b/>
                <w:bCs/>
                <w:sz w:val="21"/>
                <w:szCs w:val="21"/>
                <w:lang w:eastAsia="en-IN"/>
              </w:rPr>
            </w:pPr>
            <w:r w:rsidRPr="00BD1C6C">
              <w:rPr>
                <w:rFonts w:ascii="Times New Roman" w:eastAsia="Times New Roman" w:hAnsi="Times New Roman" w:cs="Times New Roman"/>
                <w:b/>
                <w:bCs/>
                <w:sz w:val="21"/>
                <w:szCs w:val="21"/>
                <w:lang w:eastAsia="en-IN"/>
              </w:rPr>
              <w:t>Complexity Level</w:t>
            </w:r>
          </w:p>
        </w:tc>
        <w:tc>
          <w:tcPr>
            <w:tcW w:w="0" w:type="auto"/>
            <w:tcMar>
              <w:top w:w="120" w:type="dxa"/>
              <w:left w:w="120" w:type="dxa"/>
              <w:bottom w:w="120" w:type="dxa"/>
              <w:right w:w="120" w:type="dxa"/>
            </w:tcMar>
            <w:hideMark/>
          </w:tcPr>
          <w:p w:rsidR="00BD1C6C" w:rsidRPr="00BD1C6C" w:rsidRDefault="00BD1C6C" w:rsidP="00BD1C6C">
            <w:pPr>
              <w:spacing w:before="240" w:after="240" w:line="240" w:lineRule="auto"/>
              <w:rPr>
                <w:rFonts w:ascii="Times New Roman" w:eastAsia="Times New Roman" w:hAnsi="Times New Roman" w:cs="Times New Roman"/>
                <w:b/>
                <w:bCs/>
                <w:sz w:val="21"/>
                <w:szCs w:val="21"/>
                <w:lang w:eastAsia="en-IN"/>
              </w:rPr>
            </w:pPr>
            <w:r w:rsidRPr="00BD1C6C">
              <w:rPr>
                <w:rFonts w:ascii="Times New Roman" w:eastAsia="Times New Roman" w:hAnsi="Times New Roman" w:cs="Times New Roman"/>
                <w:b/>
                <w:bCs/>
                <w:sz w:val="21"/>
                <w:szCs w:val="21"/>
                <w:lang w:eastAsia="en-IN"/>
              </w:rPr>
              <w:t>Notes</w:t>
            </w:r>
          </w:p>
        </w:tc>
      </w:tr>
      <w:tr w:rsidR="00BD1C6C" w:rsidRPr="00BD1C6C" w:rsidTr="00BD1C6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Diagnosis</w:t>
            </w:r>
          </w:p>
        </w:t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Detecting injury, quantifying extent</w:t>
            </w:r>
          </w:p>
        </w:t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Moderate</w:t>
            </w:r>
          </w:p>
        </w:t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Needs robust, validated imaging models</w:t>
            </w:r>
          </w:p>
        </w:tc>
      </w:tr>
      <w:tr w:rsidR="00BD1C6C" w:rsidRPr="00BD1C6C" w:rsidTr="00BD1C6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Outcome Prediction</w:t>
            </w:r>
          </w:p>
        </w:t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Estimating treatment success/failure</w:t>
            </w:r>
          </w:p>
        </w:t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High</w:t>
            </w:r>
          </w:p>
        </w:t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Integrates diverse, real-time data</w:t>
            </w:r>
          </w:p>
        </w:tc>
      </w:tr>
      <w:tr w:rsidR="00BD1C6C" w:rsidRPr="00BD1C6C" w:rsidTr="00BD1C6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Treatment Planning</w:t>
            </w:r>
          </w:p>
        </w:t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Personalized medication regimes</w:t>
            </w:r>
          </w:p>
        </w:t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High</w:t>
            </w:r>
          </w:p>
        </w:t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Affected by underlying genetic and biological variability</w:t>
            </w:r>
          </w:p>
        </w:tc>
      </w:tr>
      <w:tr w:rsidR="00BD1C6C" w:rsidRPr="00BD1C6C" w:rsidTr="00BD1C6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Transplant Suitability</w:t>
            </w:r>
          </w:p>
        </w:t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When to refer for transplantation</w:t>
            </w:r>
          </w:p>
        </w:t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Very High</w:t>
            </w:r>
          </w:p>
        </w:t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Ethical and life-critical; requires validation and consensus</w:t>
            </w:r>
          </w:p>
        </w:tc>
      </w:tr>
      <w:tr w:rsidR="00BD1C6C" w:rsidRPr="00BD1C6C" w:rsidTr="00BD1C6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Donor/Recipient Matching</w:t>
            </w:r>
          </w:p>
        </w:t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Predicting transplant success</w:t>
            </w:r>
          </w:p>
        </w:t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Very High</w:t>
            </w:r>
          </w:p>
        </w:tc>
        <w:tc>
          <w:tcPr>
            <w:tcW w:w="0" w:type="auto"/>
            <w:tcMar>
              <w:top w:w="137" w:type="dxa"/>
              <w:left w:w="120" w:type="dxa"/>
              <w:bottom w:w="137" w:type="dxa"/>
              <w:right w:w="120" w:type="dxa"/>
            </w:tcMar>
            <w:vAlign w:val="bottom"/>
            <w:hideMark/>
          </w:tcPr>
          <w:p w:rsidR="00BD1C6C" w:rsidRPr="00BD1C6C" w:rsidRDefault="00BD1C6C" w:rsidP="00BD1C6C">
            <w:pPr>
              <w:spacing w:before="240" w:after="240" w:line="240" w:lineRule="auto"/>
              <w:rPr>
                <w:rFonts w:ascii="Times New Roman" w:eastAsia="Times New Roman" w:hAnsi="Times New Roman" w:cs="Times New Roman"/>
                <w:sz w:val="21"/>
                <w:szCs w:val="21"/>
                <w:lang w:eastAsia="en-IN"/>
              </w:rPr>
            </w:pPr>
            <w:r w:rsidRPr="00BD1C6C">
              <w:rPr>
                <w:rFonts w:ascii="Times New Roman" w:eastAsia="Times New Roman" w:hAnsi="Times New Roman" w:cs="Times New Roman"/>
                <w:sz w:val="21"/>
                <w:szCs w:val="21"/>
                <w:lang w:eastAsia="en-IN"/>
              </w:rPr>
              <w:t xml:space="preserve">Real-time, data-rich, high-stakes; </w:t>
            </w:r>
            <w:proofErr w:type="spellStart"/>
            <w:r w:rsidRPr="00BD1C6C">
              <w:rPr>
                <w:rFonts w:ascii="Times New Roman" w:eastAsia="Times New Roman" w:hAnsi="Times New Roman" w:cs="Times New Roman"/>
                <w:sz w:val="21"/>
                <w:szCs w:val="21"/>
                <w:lang w:eastAsia="en-IN"/>
              </w:rPr>
              <w:t>ongoing</w:t>
            </w:r>
            <w:proofErr w:type="spellEnd"/>
            <w:r w:rsidRPr="00BD1C6C">
              <w:rPr>
                <w:rFonts w:ascii="Times New Roman" w:eastAsia="Times New Roman" w:hAnsi="Times New Roman" w:cs="Times New Roman"/>
                <w:sz w:val="21"/>
                <w:szCs w:val="21"/>
                <w:lang w:eastAsia="en-IN"/>
              </w:rPr>
              <w:t xml:space="preserve"> research</w:t>
            </w:r>
          </w:p>
        </w:tc>
      </w:tr>
    </w:tbl>
    <w:p w:rsidR="00BD1C6C" w:rsidRPr="00BD1C6C" w:rsidRDefault="00BD1C6C" w:rsidP="00BD1C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sz w:val="36"/>
          <w:szCs w:val="36"/>
          <w:lang w:eastAsia="en-IN"/>
        </w:rPr>
      </w:pPr>
      <w:r w:rsidRPr="00BD1C6C">
        <w:rPr>
          <w:rFonts w:ascii="fkGrotesk Fallback" w:eastAsia="Times New Roman" w:hAnsi="fkGrotesk Fallback" w:cs="Times New Roman"/>
          <w:b/>
          <w:bCs/>
          <w:sz w:val="36"/>
          <w:szCs w:val="36"/>
          <w:lang w:eastAsia="en-IN"/>
        </w:rPr>
        <w:t>Simple Explanation</w:t>
      </w:r>
    </w:p>
    <w:p w:rsidR="00BD1C6C" w:rsidRPr="00BD1C6C" w:rsidRDefault="00BD1C6C" w:rsidP="00BD1C6C">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BD1C6C">
        <w:rPr>
          <w:rFonts w:ascii="Segoe UI" w:eastAsia="Times New Roman" w:hAnsi="Segoe UI" w:cs="Segoe UI"/>
          <w:b/>
          <w:bCs/>
          <w:sz w:val="24"/>
          <w:szCs w:val="24"/>
          <w:bdr w:val="single" w:sz="2" w:space="0" w:color="E5E7EB" w:frame="1"/>
          <w:lang w:eastAsia="en-IN"/>
        </w:rPr>
        <w:t>Yes, lung injury prediction is possible</w:t>
      </w:r>
      <w:r w:rsidRPr="00BD1C6C">
        <w:rPr>
          <w:rFonts w:ascii="Segoe UI" w:eastAsia="Times New Roman" w:hAnsi="Segoe UI" w:cs="Segoe UI"/>
          <w:sz w:val="24"/>
          <w:szCs w:val="24"/>
          <w:lang w:eastAsia="en-IN"/>
        </w:rPr>
        <w:t> and is already helping doctors make critical decisions about treatments vs. transplantation.</w:t>
      </w:r>
    </w:p>
    <w:p w:rsidR="00BD1C6C" w:rsidRPr="00BD1C6C" w:rsidRDefault="00BD1C6C" w:rsidP="00BD1C6C">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BD1C6C">
        <w:rPr>
          <w:rFonts w:ascii="Segoe UI" w:eastAsia="Times New Roman" w:hAnsi="Segoe UI" w:cs="Segoe UI"/>
          <w:sz w:val="24"/>
          <w:szCs w:val="24"/>
          <w:lang w:eastAsia="en-IN"/>
        </w:rPr>
        <w:t>The project is </w:t>
      </w:r>
      <w:r w:rsidRPr="00BD1C6C">
        <w:rPr>
          <w:rFonts w:ascii="Segoe UI" w:eastAsia="Times New Roman" w:hAnsi="Segoe UI" w:cs="Segoe UI"/>
          <w:b/>
          <w:bCs/>
          <w:sz w:val="24"/>
          <w:szCs w:val="24"/>
          <w:bdr w:val="single" w:sz="2" w:space="0" w:color="E5E7EB" w:frame="1"/>
          <w:lang w:eastAsia="en-IN"/>
        </w:rPr>
        <w:t>very complex</w:t>
      </w:r>
      <w:r w:rsidRPr="00BD1C6C">
        <w:rPr>
          <w:rFonts w:ascii="Segoe UI" w:eastAsia="Times New Roman" w:hAnsi="Segoe UI" w:cs="Segoe UI"/>
          <w:sz w:val="24"/>
          <w:szCs w:val="24"/>
          <w:lang w:eastAsia="en-IN"/>
        </w:rPr>
        <w:t>, involving diverse datasets, data interpretation, biological variability, and ethical considerations.</w:t>
      </w:r>
    </w:p>
    <w:p w:rsidR="00BD1C6C" w:rsidRPr="00BD1C6C" w:rsidRDefault="00BD1C6C" w:rsidP="00BD1C6C">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BD1C6C">
        <w:rPr>
          <w:rFonts w:ascii="Segoe UI" w:eastAsia="Times New Roman" w:hAnsi="Segoe UI" w:cs="Segoe UI"/>
          <w:sz w:val="24"/>
          <w:szCs w:val="24"/>
          <w:lang w:eastAsia="en-IN"/>
        </w:rPr>
        <w:t>AI is a valuable tool but </w:t>
      </w:r>
      <w:r w:rsidRPr="00BD1C6C">
        <w:rPr>
          <w:rFonts w:ascii="Segoe UI" w:eastAsia="Times New Roman" w:hAnsi="Segoe UI" w:cs="Segoe UI"/>
          <w:b/>
          <w:bCs/>
          <w:sz w:val="24"/>
          <w:szCs w:val="24"/>
          <w:bdr w:val="single" w:sz="2" w:space="0" w:color="E5E7EB" w:frame="1"/>
          <w:lang w:eastAsia="en-IN"/>
        </w:rPr>
        <w:t>cannot fully replace clinical expertise</w:t>
      </w:r>
      <w:r w:rsidRPr="00BD1C6C">
        <w:rPr>
          <w:rFonts w:ascii="Segoe UI" w:eastAsia="Times New Roman" w:hAnsi="Segoe UI" w:cs="Segoe UI"/>
          <w:sz w:val="24"/>
          <w:szCs w:val="24"/>
          <w:lang w:eastAsia="en-IN"/>
        </w:rPr>
        <w:t>; it is best used to support—not dictate—major treatment decisions.</w:t>
      </w:r>
    </w:p>
    <w:p w:rsidR="00BD1C6C" w:rsidRPr="00BD1C6C" w:rsidRDefault="00BD1C6C" w:rsidP="00BD1C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sz w:val="36"/>
          <w:szCs w:val="36"/>
          <w:lang w:eastAsia="en-IN"/>
        </w:rPr>
      </w:pPr>
      <w:r w:rsidRPr="00BD1C6C">
        <w:rPr>
          <w:rFonts w:ascii="fkGrotesk Fallback" w:eastAsia="Times New Roman" w:hAnsi="fkGrotesk Fallback" w:cs="Times New Roman"/>
          <w:b/>
          <w:bCs/>
          <w:sz w:val="36"/>
          <w:szCs w:val="36"/>
          <w:lang w:eastAsia="en-IN"/>
        </w:rPr>
        <w:t>References</w:t>
      </w:r>
    </w:p>
    <w:p w:rsidR="00BD1C6C" w:rsidRPr="00BD1C6C" w:rsidRDefault="00BD1C6C" w:rsidP="00BD1C6C">
      <w:pPr>
        <w:numPr>
          <w:ilvl w:val="0"/>
          <w:numId w:val="7"/>
        </w:numPr>
        <w:pBdr>
          <w:top w:val="single" w:sz="2" w:space="0" w:color="E5E7EB"/>
          <w:left w:val="single" w:sz="2" w:space="0"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BD1C6C">
        <w:rPr>
          <w:rFonts w:ascii="Segoe UI" w:eastAsia="Times New Roman" w:hAnsi="Segoe UI" w:cs="Segoe UI"/>
          <w:b/>
          <w:bCs/>
          <w:sz w:val="24"/>
          <w:szCs w:val="24"/>
          <w:bdr w:val="single" w:sz="2" w:space="0" w:color="E5E7EB" w:frame="1"/>
          <w:lang w:eastAsia="en-IN"/>
        </w:rPr>
        <w:t>Use of AI to predict lung injury and outcomes</w:t>
      </w:r>
      <w:proofErr w:type="gramStart"/>
      <w:r w:rsidRPr="00BD1C6C">
        <w:rPr>
          <w:rFonts w:ascii="Segoe UI" w:eastAsia="Times New Roman" w:hAnsi="Segoe UI" w:cs="Segoe UI"/>
          <w:b/>
          <w:bCs/>
          <w:sz w:val="24"/>
          <w:szCs w:val="24"/>
          <w:bdr w:val="single" w:sz="2" w:space="0" w:color="E5E7EB" w:frame="1"/>
          <w:lang w:eastAsia="en-IN"/>
        </w:rPr>
        <w:t>:</w:t>
      </w:r>
      <w:proofErr w:type="gramEnd"/>
      <w:r w:rsidRPr="00BD1C6C">
        <w:rPr>
          <w:rFonts w:ascii="Segoe UI" w:eastAsia="Times New Roman" w:hAnsi="Segoe UI" w:cs="Segoe UI"/>
          <w:sz w:val="24"/>
          <w:szCs w:val="24"/>
          <w:lang w:eastAsia="en-IN"/>
        </w:rPr>
        <w:br/>
      </w:r>
      <w:proofErr w:type="spellStart"/>
      <w:r w:rsidRPr="00BD1C6C">
        <w:rPr>
          <w:rFonts w:ascii="Segoe UI" w:eastAsia="Times New Roman" w:hAnsi="Segoe UI" w:cs="Segoe UI"/>
          <w:sz w:val="24"/>
          <w:szCs w:val="24"/>
          <w:lang w:eastAsia="en-IN"/>
        </w:rPr>
        <w:t>Rajkomar</w:t>
      </w:r>
      <w:proofErr w:type="spellEnd"/>
      <w:r w:rsidRPr="00BD1C6C">
        <w:rPr>
          <w:rFonts w:ascii="Segoe UI" w:eastAsia="Times New Roman" w:hAnsi="Segoe UI" w:cs="Segoe UI"/>
          <w:sz w:val="24"/>
          <w:szCs w:val="24"/>
          <w:lang w:eastAsia="en-IN"/>
        </w:rPr>
        <w:t xml:space="preserve">, A., et al. "Scalable and accurate deep learning for electronic health records." </w:t>
      </w:r>
      <w:proofErr w:type="spellStart"/>
      <w:r w:rsidRPr="00BD1C6C">
        <w:rPr>
          <w:rFonts w:ascii="Segoe UI" w:eastAsia="Times New Roman" w:hAnsi="Segoe UI" w:cs="Segoe UI"/>
          <w:sz w:val="24"/>
          <w:szCs w:val="24"/>
          <w:lang w:eastAsia="en-IN"/>
        </w:rPr>
        <w:t>npj</w:t>
      </w:r>
      <w:proofErr w:type="spellEnd"/>
      <w:r w:rsidRPr="00BD1C6C">
        <w:rPr>
          <w:rFonts w:ascii="Segoe UI" w:eastAsia="Times New Roman" w:hAnsi="Segoe UI" w:cs="Segoe UI"/>
          <w:sz w:val="24"/>
          <w:szCs w:val="24"/>
          <w:lang w:eastAsia="en-IN"/>
        </w:rPr>
        <w:t xml:space="preserve"> Digital Medicine (2018).</w:t>
      </w:r>
      <w:r w:rsidRPr="00BD1C6C">
        <w:rPr>
          <w:rFonts w:ascii="Segoe UI" w:eastAsia="Times New Roman" w:hAnsi="Segoe UI" w:cs="Segoe UI"/>
          <w:sz w:val="24"/>
          <w:szCs w:val="24"/>
          <w:lang w:eastAsia="en-IN"/>
        </w:rPr>
        <w:br/>
      </w:r>
      <w:hyperlink r:id="rId6" w:tgtFrame="_blank" w:history="1">
        <w:r w:rsidRPr="00BD1C6C">
          <w:rPr>
            <w:rFonts w:ascii="Segoe UI" w:eastAsia="Times New Roman" w:hAnsi="Segoe UI" w:cs="Segoe UI"/>
            <w:color w:val="0000FF"/>
            <w:sz w:val="24"/>
            <w:szCs w:val="24"/>
            <w:u w:val="single"/>
            <w:bdr w:val="single" w:sz="2" w:space="0" w:color="E5E7EB" w:frame="1"/>
            <w:lang w:eastAsia="en-IN"/>
          </w:rPr>
          <w:t>https://www.nature.com/articles/s41746-018-0029-1</w:t>
        </w:r>
      </w:hyperlink>
    </w:p>
    <w:p w:rsidR="00BD1C6C" w:rsidRPr="00BD1C6C" w:rsidRDefault="00BD1C6C" w:rsidP="00BD1C6C">
      <w:pPr>
        <w:numPr>
          <w:ilvl w:val="0"/>
          <w:numId w:val="7"/>
        </w:numPr>
        <w:pBdr>
          <w:top w:val="single" w:sz="2" w:space="0" w:color="E5E7EB"/>
          <w:left w:val="single" w:sz="2" w:space="0"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BD1C6C">
        <w:rPr>
          <w:rFonts w:ascii="Segoe UI" w:eastAsia="Times New Roman" w:hAnsi="Segoe UI" w:cs="Segoe UI"/>
          <w:b/>
          <w:bCs/>
          <w:sz w:val="24"/>
          <w:szCs w:val="24"/>
          <w:bdr w:val="single" w:sz="2" w:space="0" w:color="E5E7EB" w:frame="1"/>
          <w:lang w:eastAsia="en-IN"/>
        </w:rPr>
        <w:t>Lung transplant prediction models and clinical applications</w:t>
      </w:r>
      <w:proofErr w:type="gramStart"/>
      <w:r w:rsidRPr="00BD1C6C">
        <w:rPr>
          <w:rFonts w:ascii="Segoe UI" w:eastAsia="Times New Roman" w:hAnsi="Segoe UI" w:cs="Segoe UI"/>
          <w:b/>
          <w:bCs/>
          <w:sz w:val="24"/>
          <w:szCs w:val="24"/>
          <w:bdr w:val="single" w:sz="2" w:space="0" w:color="E5E7EB" w:frame="1"/>
          <w:lang w:eastAsia="en-IN"/>
        </w:rPr>
        <w:t>:</w:t>
      </w:r>
      <w:proofErr w:type="gramEnd"/>
      <w:r w:rsidRPr="00BD1C6C">
        <w:rPr>
          <w:rFonts w:ascii="Segoe UI" w:eastAsia="Times New Roman" w:hAnsi="Segoe UI" w:cs="Segoe UI"/>
          <w:sz w:val="24"/>
          <w:szCs w:val="24"/>
          <w:lang w:eastAsia="en-IN"/>
        </w:rPr>
        <w:br/>
      </w:r>
      <w:proofErr w:type="spellStart"/>
      <w:r w:rsidRPr="00BD1C6C">
        <w:rPr>
          <w:rFonts w:ascii="Segoe UI" w:eastAsia="Times New Roman" w:hAnsi="Segoe UI" w:cs="Segoe UI"/>
          <w:sz w:val="24"/>
          <w:szCs w:val="24"/>
          <w:lang w:eastAsia="en-IN"/>
        </w:rPr>
        <w:t>Luo</w:t>
      </w:r>
      <w:proofErr w:type="spellEnd"/>
      <w:r w:rsidRPr="00BD1C6C">
        <w:rPr>
          <w:rFonts w:ascii="Segoe UI" w:eastAsia="Times New Roman" w:hAnsi="Segoe UI" w:cs="Segoe UI"/>
          <w:sz w:val="24"/>
          <w:szCs w:val="24"/>
          <w:lang w:eastAsia="en-IN"/>
        </w:rPr>
        <w:t>, J., et al. "Machine Learning Models for Predicting Outcomes after Lung Transplantation: A Review." Journal of Thoracic Disease (2021).</w:t>
      </w:r>
      <w:r w:rsidRPr="00BD1C6C">
        <w:rPr>
          <w:rFonts w:ascii="Segoe UI" w:eastAsia="Times New Roman" w:hAnsi="Segoe UI" w:cs="Segoe UI"/>
          <w:sz w:val="24"/>
          <w:szCs w:val="24"/>
          <w:lang w:eastAsia="en-IN"/>
        </w:rPr>
        <w:br/>
      </w:r>
      <w:hyperlink r:id="rId7" w:tgtFrame="_blank" w:history="1">
        <w:r w:rsidRPr="00BD1C6C">
          <w:rPr>
            <w:rFonts w:ascii="Segoe UI" w:eastAsia="Times New Roman" w:hAnsi="Segoe UI" w:cs="Segoe UI"/>
            <w:color w:val="0000FF"/>
            <w:sz w:val="24"/>
            <w:szCs w:val="24"/>
            <w:u w:val="single"/>
            <w:bdr w:val="single" w:sz="2" w:space="0" w:color="E5E7EB" w:frame="1"/>
            <w:lang w:eastAsia="en-IN"/>
          </w:rPr>
          <w:t>https://www.ncbi.nlm.nih.gov/pmc/articles/PMC8050594/</w:t>
        </w:r>
      </w:hyperlink>
    </w:p>
    <w:p w:rsidR="00BD1C6C" w:rsidRPr="00BD1C6C" w:rsidRDefault="00BD1C6C" w:rsidP="00BD1C6C">
      <w:pPr>
        <w:numPr>
          <w:ilvl w:val="0"/>
          <w:numId w:val="7"/>
        </w:numPr>
        <w:pBdr>
          <w:top w:val="single" w:sz="2" w:space="0" w:color="E5E7EB"/>
          <w:left w:val="single" w:sz="2" w:space="0"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BD1C6C">
        <w:rPr>
          <w:rFonts w:ascii="Segoe UI" w:eastAsia="Times New Roman" w:hAnsi="Segoe UI" w:cs="Segoe UI"/>
          <w:b/>
          <w:bCs/>
          <w:sz w:val="24"/>
          <w:szCs w:val="24"/>
          <w:bdr w:val="single" w:sz="2" w:space="0" w:color="E5E7EB" w:frame="1"/>
          <w:lang w:eastAsia="en-IN"/>
        </w:rPr>
        <w:lastRenderedPageBreak/>
        <w:t>AI in imaging for lung diseases</w:t>
      </w:r>
      <w:proofErr w:type="gramStart"/>
      <w:r w:rsidRPr="00BD1C6C">
        <w:rPr>
          <w:rFonts w:ascii="Segoe UI" w:eastAsia="Times New Roman" w:hAnsi="Segoe UI" w:cs="Segoe UI"/>
          <w:b/>
          <w:bCs/>
          <w:sz w:val="24"/>
          <w:szCs w:val="24"/>
          <w:bdr w:val="single" w:sz="2" w:space="0" w:color="E5E7EB" w:frame="1"/>
          <w:lang w:eastAsia="en-IN"/>
        </w:rPr>
        <w:t>:</w:t>
      </w:r>
      <w:proofErr w:type="gramEnd"/>
      <w:r w:rsidRPr="00BD1C6C">
        <w:rPr>
          <w:rFonts w:ascii="Segoe UI" w:eastAsia="Times New Roman" w:hAnsi="Segoe UI" w:cs="Segoe UI"/>
          <w:sz w:val="24"/>
          <w:szCs w:val="24"/>
          <w:lang w:eastAsia="en-IN"/>
        </w:rPr>
        <w:br/>
      </w:r>
      <w:proofErr w:type="spellStart"/>
      <w:r w:rsidRPr="00BD1C6C">
        <w:rPr>
          <w:rFonts w:ascii="Segoe UI" w:eastAsia="Times New Roman" w:hAnsi="Segoe UI" w:cs="Segoe UI"/>
          <w:sz w:val="24"/>
          <w:szCs w:val="24"/>
          <w:lang w:eastAsia="en-IN"/>
        </w:rPr>
        <w:t>Ardila</w:t>
      </w:r>
      <w:proofErr w:type="spellEnd"/>
      <w:r w:rsidRPr="00BD1C6C">
        <w:rPr>
          <w:rFonts w:ascii="Segoe UI" w:eastAsia="Times New Roman" w:hAnsi="Segoe UI" w:cs="Segoe UI"/>
          <w:sz w:val="24"/>
          <w:szCs w:val="24"/>
          <w:lang w:eastAsia="en-IN"/>
        </w:rPr>
        <w:t>, D., et al. "End-to-end lung cancer screening with three-dimensional deep learning on low-dose chest computed tomography." Nature Medicine (2019).</w:t>
      </w:r>
      <w:r w:rsidRPr="00BD1C6C">
        <w:rPr>
          <w:rFonts w:ascii="Segoe UI" w:eastAsia="Times New Roman" w:hAnsi="Segoe UI" w:cs="Segoe UI"/>
          <w:sz w:val="24"/>
          <w:szCs w:val="24"/>
          <w:lang w:eastAsia="en-IN"/>
        </w:rPr>
        <w:br/>
      </w:r>
      <w:hyperlink r:id="rId8" w:tgtFrame="_blank" w:history="1">
        <w:r w:rsidRPr="00BD1C6C">
          <w:rPr>
            <w:rFonts w:ascii="Segoe UI" w:eastAsia="Times New Roman" w:hAnsi="Segoe UI" w:cs="Segoe UI"/>
            <w:color w:val="0000FF"/>
            <w:sz w:val="24"/>
            <w:szCs w:val="24"/>
            <w:u w:val="single"/>
            <w:bdr w:val="single" w:sz="2" w:space="0" w:color="E5E7EB" w:frame="1"/>
            <w:lang w:eastAsia="en-IN"/>
          </w:rPr>
          <w:t>https://www.nature.com/articles/s41591-019-0447-x</w:t>
        </w:r>
      </w:hyperlink>
    </w:p>
    <w:p w:rsidR="00BD1C6C" w:rsidRPr="00BD1C6C" w:rsidRDefault="00BD1C6C" w:rsidP="00BD1C6C">
      <w:pPr>
        <w:numPr>
          <w:ilvl w:val="0"/>
          <w:numId w:val="7"/>
        </w:numPr>
        <w:pBdr>
          <w:top w:val="single" w:sz="2" w:space="0" w:color="E5E7EB"/>
          <w:left w:val="single" w:sz="2" w:space="0" w:color="E5E7EB"/>
          <w:bottom w:val="single" w:sz="2" w:space="0" w:color="E5E7EB"/>
          <w:right w:val="single" w:sz="2" w:space="0" w:color="E5E7EB"/>
        </w:pBdr>
        <w:spacing w:after="0" w:line="240" w:lineRule="auto"/>
        <w:ind w:left="0"/>
        <w:rPr>
          <w:rFonts w:ascii="Segoe UI" w:eastAsia="Times New Roman" w:hAnsi="Segoe UI" w:cs="Segoe UI"/>
          <w:sz w:val="24"/>
          <w:szCs w:val="24"/>
          <w:lang w:eastAsia="en-IN"/>
        </w:rPr>
      </w:pPr>
      <w:r w:rsidRPr="00BD1C6C">
        <w:rPr>
          <w:rFonts w:ascii="Segoe UI" w:eastAsia="Times New Roman" w:hAnsi="Segoe UI" w:cs="Segoe UI"/>
          <w:b/>
          <w:bCs/>
          <w:sz w:val="24"/>
          <w:szCs w:val="24"/>
          <w:bdr w:val="single" w:sz="2" w:space="0" w:color="E5E7EB" w:frame="1"/>
          <w:lang w:eastAsia="en-IN"/>
        </w:rPr>
        <w:t>Ethical considerations in AI medical decision-making</w:t>
      </w:r>
      <w:proofErr w:type="gramStart"/>
      <w:r w:rsidRPr="00BD1C6C">
        <w:rPr>
          <w:rFonts w:ascii="Segoe UI" w:eastAsia="Times New Roman" w:hAnsi="Segoe UI" w:cs="Segoe UI"/>
          <w:b/>
          <w:bCs/>
          <w:sz w:val="24"/>
          <w:szCs w:val="24"/>
          <w:bdr w:val="single" w:sz="2" w:space="0" w:color="E5E7EB" w:frame="1"/>
          <w:lang w:eastAsia="en-IN"/>
        </w:rPr>
        <w:t>:</w:t>
      </w:r>
      <w:proofErr w:type="gramEnd"/>
      <w:r w:rsidRPr="00BD1C6C">
        <w:rPr>
          <w:rFonts w:ascii="Segoe UI" w:eastAsia="Times New Roman" w:hAnsi="Segoe UI" w:cs="Segoe UI"/>
          <w:sz w:val="24"/>
          <w:szCs w:val="24"/>
          <w:lang w:eastAsia="en-IN"/>
        </w:rPr>
        <w:br/>
        <w:t>Morley, J., et al. "Ethics of AI in health care: evidence and ethical considerations." The Lancet Digital Health (2020).</w:t>
      </w:r>
      <w:r w:rsidRPr="00BD1C6C">
        <w:rPr>
          <w:rFonts w:ascii="Segoe UI" w:eastAsia="Times New Roman" w:hAnsi="Segoe UI" w:cs="Segoe UI"/>
          <w:sz w:val="24"/>
          <w:szCs w:val="24"/>
          <w:lang w:eastAsia="en-IN"/>
        </w:rPr>
        <w:br/>
      </w:r>
      <w:hyperlink r:id="rId9" w:tgtFrame="_blank" w:history="1">
        <w:r w:rsidRPr="00BD1C6C">
          <w:rPr>
            <w:rFonts w:ascii="Segoe UI" w:eastAsia="Times New Roman" w:hAnsi="Segoe UI" w:cs="Segoe UI"/>
            <w:color w:val="0000FF"/>
            <w:sz w:val="24"/>
            <w:szCs w:val="24"/>
            <w:u w:val="single"/>
            <w:bdr w:val="single" w:sz="2" w:space="0" w:color="E5E7EB" w:frame="1"/>
            <w:lang w:eastAsia="en-IN"/>
          </w:rPr>
          <w:t>https://www.thelancet.com/journals/landig/article/PIIS2589-7500(20)30149-3/fulltext</w:t>
        </w:r>
      </w:hyperlink>
    </w:p>
    <w:p w:rsidR="00DC36DE" w:rsidRDefault="00DC36DE"/>
    <w:p w:rsidR="00EB5DEC" w:rsidRDefault="00EB5DEC"/>
    <w:p w:rsidR="00EB5DEC" w:rsidRDefault="00EB5DEC"/>
    <w:p w:rsidR="00EB5DEC" w:rsidRDefault="00EB5DEC"/>
    <w:p w:rsidR="00EB5DEC" w:rsidRDefault="00EB5DEC"/>
    <w:p w:rsidR="00EB5DEC" w:rsidRDefault="00EB5DEC"/>
    <w:p w:rsidR="00EB5DEC" w:rsidRDefault="00EB5DEC"/>
    <w:p w:rsidR="00EB5DEC" w:rsidRDefault="00EB5DEC"/>
    <w:p w:rsidR="00EB5DEC" w:rsidRDefault="00EB5DEC"/>
    <w:p w:rsidR="00EB5DEC" w:rsidRDefault="00EB5DEC"/>
    <w:p w:rsidR="00EB5DEC" w:rsidRDefault="00EB5DEC"/>
    <w:p w:rsidR="00EB5DEC" w:rsidRDefault="00EB5DEC"/>
    <w:p w:rsidR="00EB5DEC" w:rsidRDefault="00EB5DEC"/>
    <w:p w:rsidR="00EB5DEC" w:rsidRDefault="00EB5DEC"/>
    <w:p w:rsidR="00EB5DEC" w:rsidRDefault="00EB5DEC"/>
    <w:p w:rsidR="00EB5DEC" w:rsidRDefault="00EB5DEC"/>
    <w:p w:rsidR="00EB5DEC" w:rsidRDefault="00EB5DEC"/>
    <w:p w:rsidR="00EB5DEC" w:rsidRDefault="00EB5DEC"/>
    <w:p w:rsidR="00EB5DEC" w:rsidRDefault="00EB5DEC"/>
    <w:p w:rsidR="00EB5DEC" w:rsidRDefault="00EB5DEC"/>
    <w:p w:rsidR="00EB5DEC" w:rsidRDefault="00EB5DEC"/>
    <w:p w:rsidR="00EB5DEC" w:rsidRDefault="00EB5DEC"/>
    <w:p w:rsidR="00EB5DEC" w:rsidRDefault="00EB5DEC" w:rsidP="00EB5DEC">
      <w:pPr>
        <w:pStyle w:val="Heading1"/>
      </w:pPr>
      <w:r>
        <w:lastRenderedPageBreak/>
        <w:t>Evidence-Based Data Inputs for Lung Criticality Prediction</w:t>
      </w:r>
    </w:p>
    <w:p w:rsidR="00EB5DEC" w:rsidRDefault="00EB5DEC" w:rsidP="00EB5DEC">
      <w:pPr>
        <w:pStyle w:val="my-0"/>
      </w:pPr>
      <w:r>
        <w:t>Developing accurate models to predict lung criticality—including risk of ARDS, respiratory failure, and other adverse outcomes—relies on diverse, comprehensive clinical data inputs. Every key domain and supporting study below uses citation numbers in braces as requested.</w:t>
      </w:r>
    </w:p>
    <w:p w:rsidR="00EB5DEC" w:rsidRDefault="00EB5DEC" w:rsidP="00EB5DEC">
      <w:pPr>
        <w:pStyle w:val="Heading2"/>
      </w:pPr>
      <w:r>
        <w:t>1. Patient Demographics &amp; Risk Factors</w:t>
      </w:r>
    </w:p>
    <w:p w:rsidR="00EB5DEC" w:rsidRDefault="00EB5DEC" w:rsidP="00EB5DEC">
      <w:pPr>
        <w:pStyle w:val="my-0"/>
        <w:numPr>
          <w:ilvl w:val="0"/>
          <w:numId w:val="8"/>
        </w:numPr>
      </w:pPr>
      <w:r>
        <w:rPr>
          <w:rStyle w:val="Strong"/>
        </w:rPr>
        <w:t>Key Elements:</w:t>
      </w:r>
      <w:r>
        <w:t xml:space="preserve"> Age, sex, medical history, risk factors.</w:t>
      </w:r>
    </w:p>
    <w:p w:rsidR="00EB5DEC" w:rsidRDefault="00EB5DEC" w:rsidP="00EB5DEC">
      <w:pPr>
        <w:pStyle w:val="my-0"/>
        <w:numPr>
          <w:ilvl w:val="0"/>
          <w:numId w:val="8"/>
        </w:numPr>
      </w:pPr>
      <w:r>
        <w:rPr>
          <w:rStyle w:val="Strong"/>
        </w:rPr>
        <w:t>Evidence:</w:t>
      </w:r>
      <w:r>
        <w:t xml:space="preserve"> Routinely included in predictive models like APACHE II and LIPS; influence baseline risk and susceptibility to lung injury {1</w:t>
      </w:r>
      <w:proofErr w:type="gramStart"/>
      <w:r>
        <w:t>}{</w:t>
      </w:r>
      <w:proofErr w:type="gramEnd"/>
      <w:r>
        <w:t>2}.</w:t>
      </w:r>
    </w:p>
    <w:p w:rsidR="00EB5DEC" w:rsidRDefault="00EB5DEC" w:rsidP="00EB5DEC">
      <w:pPr>
        <w:pStyle w:val="my-0"/>
        <w:numPr>
          <w:ilvl w:val="0"/>
          <w:numId w:val="8"/>
        </w:numPr>
      </w:pPr>
      <w:r>
        <w:rPr>
          <w:rStyle w:val="Strong"/>
        </w:rPr>
        <w:t>Specifics:</w:t>
      </w:r>
      <w:r>
        <w:t xml:space="preserve"> Smoking status, occupational/environmental exposures, and genetic predispositions are further validated as crucial risk contributors {3</w:t>
      </w:r>
      <w:proofErr w:type="gramStart"/>
      <w:r>
        <w:t>}{</w:t>
      </w:r>
      <w:proofErr w:type="gramEnd"/>
      <w:r>
        <w:t>4}.</w:t>
      </w:r>
    </w:p>
    <w:p w:rsidR="00EB5DEC" w:rsidRDefault="00EB5DEC" w:rsidP="00EB5DEC">
      <w:pPr>
        <w:pStyle w:val="Heading2"/>
      </w:pPr>
      <w:r>
        <w:t>2. Vital Signs</w:t>
      </w:r>
    </w:p>
    <w:p w:rsidR="00EB5DEC" w:rsidRDefault="00EB5DEC" w:rsidP="00EB5DEC">
      <w:pPr>
        <w:pStyle w:val="my-0"/>
        <w:numPr>
          <w:ilvl w:val="0"/>
          <w:numId w:val="9"/>
        </w:numPr>
      </w:pPr>
      <w:r>
        <w:rPr>
          <w:rStyle w:val="Strong"/>
        </w:rPr>
        <w:t>Key Elements:</w:t>
      </w:r>
      <w:r>
        <w:t xml:space="preserve"> Oxygen saturation (</w:t>
      </w:r>
      <w:proofErr w:type="spellStart"/>
      <w:r>
        <w:t>SpO</w:t>
      </w:r>
      <w:proofErr w:type="spellEnd"/>
      <w:r>
        <w:t>₂), respiratory rate (RR), heart rate (HR), blood pressure (BP), temperature.</w:t>
      </w:r>
    </w:p>
    <w:p w:rsidR="00EB5DEC" w:rsidRDefault="00EB5DEC" w:rsidP="00EB5DEC">
      <w:pPr>
        <w:pStyle w:val="my-0"/>
        <w:numPr>
          <w:ilvl w:val="0"/>
          <w:numId w:val="9"/>
        </w:numPr>
      </w:pPr>
      <w:r>
        <w:rPr>
          <w:rStyle w:val="Strong"/>
        </w:rPr>
        <w:t>Evidence:</w:t>
      </w:r>
      <w:r>
        <w:t xml:space="preserve"> Highly predictive indicators for acute deterioration and incorporated into both risk scores and machine learning models {1</w:t>
      </w:r>
      <w:proofErr w:type="gramStart"/>
      <w:r>
        <w:t>}{</w:t>
      </w:r>
      <w:proofErr w:type="gramEnd"/>
      <w:r>
        <w:t>5}.</w:t>
      </w:r>
    </w:p>
    <w:p w:rsidR="00EB5DEC" w:rsidRDefault="00EB5DEC" w:rsidP="00EB5DEC">
      <w:pPr>
        <w:pStyle w:val="my-0"/>
        <w:numPr>
          <w:ilvl w:val="0"/>
          <w:numId w:val="9"/>
        </w:numPr>
      </w:pPr>
      <w:r>
        <w:rPr>
          <w:rStyle w:val="Strong"/>
        </w:rPr>
        <w:t>Additional Note:</w:t>
      </w:r>
      <w:r>
        <w:t xml:space="preserve"> Dynamic (trend) analysis of these parameters further enhances predictive performance, as instability often precedes clinical events {5</w:t>
      </w:r>
      <w:proofErr w:type="gramStart"/>
      <w:r>
        <w:t>}{</w:t>
      </w:r>
      <w:proofErr w:type="gramEnd"/>
      <w:r>
        <w:t>2}.</w:t>
      </w:r>
    </w:p>
    <w:p w:rsidR="00EB5DEC" w:rsidRDefault="00EB5DEC" w:rsidP="00EB5DEC">
      <w:pPr>
        <w:pStyle w:val="Heading2"/>
      </w:pPr>
      <w:r>
        <w:t>3. Laboratory Values</w:t>
      </w:r>
    </w:p>
    <w:p w:rsidR="00EB5DEC" w:rsidRDefault="00EB5DEC" w:rsidP="00EB5DEC">
      <w:pPr>
        <w:pStyle w:val="my-0"/>
        <w:numPr>
          <w:ilvl w:val="0"/>
          <w:numId w:val="10"/>
        </w:numPr>
      </w:pPr>
      <w:r>
        <w:rPr>
          <w:rStyle w:val="Strong"/>
        </w:rPr>
        <w:t>Key Elements:</w:t>
      </w:r>
      <w:r>
        <w:t xml:space="preserve"> Arterial blood gases (ABG: </w:t>
      </w:r>
      <w:proofErr w:type="spellStart"/>
      <w:r>
        <w:t>PaO</w:t>
      </w:r>
      <w:proofErr w:type="spellEnd"/>
      <w:r>
        <w:t xml:space="preserve">₂, </w:t>
      </w:r>
      <w:proofErr w:type="spellStart"/>
      <w:r>
        <w:t>PaCO</w:t>
      </w:r>
      <w:proofErr w:type="spellEnd"/>
      <w:r>
        <w:t xml:space="preserve">₂, pH, HCO₃⁻, lactate), CBC, CRP, </w:t>
      </w:r>
      <w:proofErr w:type="spellStart"/>
      <w:r>
        <w:t>procalcitonin</w:t>
      </w:r>
      <w:proofErr w:type="spellEnd"/>
      <w:r>
        <w:t>, ESR, D-dimer, troponin, BNP/NT-</w:t>
      </w:r>
      <w:proofErr w:type="spellStart"/>
      <w:r>
        <w:t>proBNP</w:t>
      </w:r>
      <w:proofErr w:type="spellEnd"/>
      <w:r>
        <w:t>, LFTs, RFTs.</w:t>
      </w:r>
    </w:p>
    <w:p w:rsidR="00EB5DEC" w:rsidRDefault="00EB5DEC" w:rsidP="00EB5DEC">
      <w:pPr>
        <w:pStyle w:val="my-0"/>
        <w:numPr>
          <w:ilvl w:val="0"/>
          <w:numId w:val="10"/>
        </w:numPr>
      </w:pPr>
      <w:r>
        <w:rPr>
          <w:rStyle w:val="Strong"/>
        </w:rPr>
        <w:t>Evidence:</w:t>
      </w:r>
      <w:r>
        <w:t xml:space="preserve"> ABG parameters are crucial for identifying respiratory failure and acid-base disturbances {5</w:t>
      </w:r>
      <w:proofErr w:type="gramStart"/>
      <w:r>
        <w:t>}{</w:t>
      </w:r>
      <w:proofErr w:type="gramEnd"/>
      <w:r>
        <w:t>2}. CBC, inflammatory markers, and additional laboratory markers have repeatedly shown to increase predictive accuracy for ARDS, sepsis, and other critical outcomes {1</w:t>
      </w:r>
      <w:proofErr w:type="gramStart"/>
      <w:r>
        <w:t>}{</w:t>
      </w:r>
      <w:proofErr w:type="gramEnd"/>
      <w:r>
        <w:t>2}.</w:t>
      </w:r>
    </w:p>
    <w:p w:rsidR="00EB5DEC" w:rsidRDefault="00EB5DEC" w:rsidP="00EB5DEC">
      <w:pPr>
        <w:pStyle w:val="Heading2"/>
      </w:pPr>
      <w:r>
        <w:t>4. Imaging Results</w:t>
      </w:r>
    </w:p>
    <w:p w:rsidR="00EB5DEC" w:rsidRDefault="00EB5DEC" w:rsidP="00EB5DEC">
      <w:pPr>
        <w:pStyle w:val="my-0"/>
        <w:numPr>
          <w:ilvl w:val="0"/>
          <w:numId w:val="11"/>
        </w:numPr>
      </w:pPr>
      <w:r>
        <w:rPr>
          <w:rStyle w:val="Strong"/>
        </w:rPr>
        <w:t>Key Modalities:</w:t>
      </w:r>
      <w:r>
        <w:t xml:space="preserve"> Chest X-ray, chest CT, lung ultrasound.</w:t>
      </w:r>
    </w:p>
    <w:p w:rsidR="00EB5DEC" w:rsidRDefault="00EB5DEC" w:rsidP="00EB5DEC">
      <w:pPr>
        <w:pStyle w:val="my-0"/>
        <w:numPr>
          <w:ilvl w:val="0"/>
          <w:numId w:val="11"/>
        </w:numPr>
      </w:pPr>
      <w:r>
        <w:rPr>
          <w:rStyle w:val="Strong"/>
        </w:rPr>
        <w:t>Evidence:</w:t>
      </w:r>
      <w:r>
        <w:t xml:space="preserve"> Imaging provides early detection for pneumonia, pulmonary </w:t>
      </w:r>
      <w:proofErr w:type="spellStart"/>
      <w:r>
        <w:t>edema</w:t>
      </w:r>
      <w:proofErr w:type="spellEnd"/>
      <w:r>
        <w:t>, ARDS, and embolic disease. Combining imaging with clinical data significantly improves risk stratification {6</w:t>
      </w:r>
      <w:proofErr w:type="gramStart"/>
      <w:r>
        <w:t>}{</w:t>
      </w:r>
      <w:proofErr w:type="gramEnd"/>
      <w:r>
        <w:t>7}.</w:t>
      </w:r>
    </w:p>
    <w:p w:rsidR="00EB5DEC" w:rsidRDefault="00EB5DEC" w:rsidP="00EB5DEC">
      <w:pPr>
        <w:pStyle w:val="my-0"/>
        <w:numPr>
          <w:ilvl w:val="0"/>
          <w:numId w:val="11"/>
        </w:numPr>
      </w:pPr>
      <w:r>
        <w:rPr>
          <w:rStyle w:val="Strong"/>
        </w:rPr>
        <w:t>Additional Note:</w:t>
      </w:r>
      <w:r>
        <w:t xml:space="preserve"> Studies—especially in COVID-19 and ARDS—confirm superior predictive power through integration of imaging and clinical variables </w:t>
      </w:r>
      <w:proofErr w:type="spellStart"/>
      <w:r>
        <w:t>vs</w:t>
      </w:r>
      <w:proofErr w:type="spellEnd"/>
      <w:r>
        <w:t xml:space="preserve"> imaging or scores alone {6</w:t>
      </w:r>
      <w:proofErr w:type="gramStart"/>
      <w:r>
        <w:t>}{</w:t>
      </w:r>
      <w:proofErr w:type="gramEnd"/>
      <w:r>
        <w:t>7}.</w:t>
      </w:r>
    </w:p>
    <w:p w:rsidR="00EB5DEC" w:rsidRDefault="00EB5DEC" w:rsidP="00EB5DEC">
      <w:pPr>
        <w:pStyle w:val="Heading2"/>
      </w:pPr>
      <w:r>
        <w:t>5. Clinical Scores &amp; Decision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6"/>
        <w:gridCol w:w="2022"/>
        <w:gridCol w:w="1312"/>
      </w:tblGrid>
      <w:tr w:rsidR="00EB5DEC" w:rsidTr="00EB5DEC">
        <w:trPr>
          <w:tblHeader/>
          <w:tblCellSpacing w:w="15" w:type="dxa"/>
        </w:trPr>
        <w:tc>
          <w:tcPr>
            <w:tcW w:w="0" w:type="auto"/>
            <w:vAlign w:val="center"/>
            <w:hideMark/>
          </w:tcPr>
          <w:p w:rsidR="00EB5DEC" w:rsidRDefault="00EB5DEC">
            <w:pPr>
              <w:jc w:val="center"/>
              <w:rPr>
                <w:b/>
                <w:bCs/>
                <w:sz w:val="24"/>
                <w:szCs w:val="24"/>
              </w:rPr>
            </w:pPr>
            <w:r>
              <w:rPr>
                <w:b/>
                <w:bCs/>
              </w:rPr>
              <w:lastRenderedPageBreak/>
              <w:t>Score</w:t>
            </w:r>
          </w:p>
        </w:tc>
        <w:tc>
          <w:tcPr>
            <w:tcW w:w="0" w:type="auto"/>
            <w:vAlign w:val="center"/>
            <w:hideMark/>
          </w:tcPr>
          <w:p w:rsidR="00EB5DEC" w:rsidRDefault="00EB5DEC">
            <w:pPr>
              <w:jc w:val="center"/>
              <w:rPr>
                <w:b/>
                <w:bCs/>
                <w:sz w:val="24"/>
                <w:szCs w:val="24"/>
              </w:rPr>
            </w:pPr>
            <w:r>
              <w:rPr>
                <w:b/>
                <w:bCs/>
              </w:rPr>
              <w:t>Purpose</w:t>
            </w:r>
          </w:p>
        </w:tc>
        <w:tc>
          <w:tcPr>
            <w:tcW w:w="0" w:type="auto"/>
            <w:vAlign w:val="center"/>
            <w:hideMark/>
          </w:tcPr>
          <w:p w:rsidR="00EB5DEC" w:rsidRDefault="00EB5DEC">
            <w:pPr>
              <w:jc w:val="center"/>
              <w:rPr>
                <w:b/>
                <w:bCs/>
                <w:sz w:val="24"/>
                <w:szCs w:val="24"/>
              </w:rPr>
            </w:pPr>
            <w:r>
              <w:rPr>
                <w:b/>
                <w:bCs/>
              </w:rPr>
              <w:t>Supported By</w:t>
            </w:r>
          </w:p>
        </w:tc>
      </w:tr>
      <w:tr w:rsidR="00EB5DEC" w:rsidTr="00EB5DEC">
        <w:trPr>
          <w:tblCellSpacing w:w="15" w:type="dxa"/>
        </w:trPr>
        <w:tc>
          <w:tcPr>
            <w:tcW w:w="0" w:type="auto"/>
            <w:vAlign w:val="center"/>
            <w:hideMark/>
          </w:tcPr>
          <w:p w:rsidR="00EB5DEC" w:rsidRDefault="00EB5DEC">
            <w:pPr>
              <w:rPr>
                <w:sz w:val="24"/>
                <w:szCs w:val="24"/>
              </w:rPr>
            </w:pPr>
            <w:r>
              <w:t>Murray Lung Injury Score</w:t>
            </w:r>
          </w:p>
        </w:tc>
        <w:tc>
          <w:tcPr>
            <w:tcW w:w="0" w:type="auto"/>
            <w:vAlign w:val="center"/>
            <w:hideMark/>
          </w:tcPr>
          <w:p w:rsidR="00EB5DEC" w:rsidRDefault="00EB5DEC">
            <w:pPr>
              <w:rPr>
                <w:sz w:val="24"/>
                <w:szCs w:val="24"/>
              </w:rPr>
            </w:pPr>
            <w:r>
              <w:t>ARDS severity</w:t>
            </w:r>
          </w:p>
        </w:tc>
        <w:tc>
          <w:tcPr>
            <w:tcW w:w="0" w:type="auto"/>
            <w:vAlign w:val="center"/>
            <w:hideMark/>
          </w:tcPr>
          <w:p w:rsidR="00EB5DEC" w:rsidRDefault="00EB5DEC">
            <w:pPr>
              <w:rPr>
                <w:sz w:val="24"/>
                <w:szCs w:val="24"/>
              </w:rPr>
            </w:pPr>
            <w:r>
              <w:t>{1}{8}</w:t>
            </w:r>
          </w:p>
        </w:tc>
      </w:tr>
      <w:tr w:rsidR="00EB5DEC" w:rsidTr="00EB5DEC">
        <w:trPr>
          <w:tblCellSpacing w:w="15" w:type="dxa"/>
        </w:trPr>
        <w:tc>
          <w:tcPr>
            <w:tcW w:w="0" w:type="auto"/>
            <w:vAlign w:val="center"/>
            <w:hideMark/>
          </w:tcPr>
          <w:p w:rsidR="00EB5DEC" w:rsidRDefault="00EB5DEC">
            <w:pPr>
              <w:rPr>
                <w:sz w:val="24"/>
                <w:szCs w:val="24"/>
              </w:rPr>
            </w:pPr>
            <w:r>
              <w:t>APACHE II</w:t>
            </w:r>
          </w:p>
        </w:tc>
        <w:tc>
          <w:tcPr>
            <w:tcW w:w="0" w:type="auto"/>
            <w:vAlign w:val="center"/>
            <w:hideMark/>
          </w:tcPr>
          <w:p w:rsidR="00EB5DEC" w:rsidRDefault="00EB5DEC">
            <w:pPr>
              <w:rPr>
                <w:sz w:val="24"/>
                <w:szCs w:val="24"/>
              </w:rPr>
            </w:pPr>
            <w:r>
              <w:t>ICU &amp; illness outcome</w:t>
            </w:r>
          </w:p>
        </w:tc>
        <w:tc>
          <w:tcPr>
            <w:tcW w:w="0" w:type="auto"/>
            <w:vAlign w:val="center"/>
            <w:hideMark/>
          </w:tcPr>
          <w:p w:rsidR="00EB5DEC" w:rsidRDefault="00EB5DEC">
            <w:pPr>
              <w:rPr>
                <w:sz w:val="24"/>
                <w:szCs w:val="24"/>
              </w:rPr>
            </w:pPr>
            <w:r>
              <w:t>{1}{2}</w:t>
            </w:r>
          </w:p>
        </w:tc>
      </w:tr>
      <w:tr w:rsidR="00EB5DEC" w:rsidTr="00EB5DEC">
        <w:trPr>
          <w:tblCellSpacing w:w="15" w:type="dxa"/>
        </w:trPr>
        <w:tc>
          <w:tcPr>
            <w:tcW w:w="0" w:type="auto"/>
            <w:vAlign w:val="center"/>
            <w:hideMark/>
          </w:tcPr>
          <w:p w:rsidR="00EB5DEC" w:rsidRDefault="00EB5DEC">
            <w:pPr>
              <w:rPr>
                <w:sz w:val="24"/>
                <w:szCs w:val="24"/>
              </w:rPr>
            </w:pPr>
            <w:r>
              <w:t>SOFA</w:t>
            </w:r>
          </w:p>
        </w:tc>
        <w:tc>
          <w:tcPr>
            <w:tcW w:w="0" w:type="auto"/>
            <w:vAlign w:val="center"/>
            <w:hideMark/>
          </w:tcPr>
          <w:p w:rsidR="00EB5DEC" w:rsidRDefault="00EB5DEC">
            <w:pPr>
              <w:rPr>
                <w:sz w:val="24"/>
                <w:szCs w:val="24"/>
              </w:rPr>
            </w:pPr>
            <w:r>
              <w:t>Sepsis/organ failure</w:t>
            </w:r>
          </w:p>
        </w:tc>
        <w:tc>
          <w:tcPr>
            <w:tcW w:w="0" w:type="auto"/>
            <w:vAlign w:val="center"/>
            <w:hideMark/>
          </w:tcPr>
          <w:p w:rsidR="00EB5DEC" w:rsidRDefault="00EB5DEC">
            <w:pPr>
              <w:rPr>
                <w:sz w:val="24"/>
                <w:szCs w:val="24"/>
              </w:rPr>
            </w:pPr>
            <w:r>
              <w:t>{2}</w:t>
            </w:r>
          </w:p>
        </w:tc>
      </w:tr>
      <w:tr w:rsidR="00EB5DEC" w:rsidTr="00EB5DEC">
        <w:trPr>
          <w:tblCellSpacing w:w="15" w:type="dxa"/>
        </w:trPr>
        <w:tc>
          <w:tcPr>
            <w:tcW w:w="0" w:type="auto"/>
            <w:vAlign w:val="center"/>
            <w:hideMark/>
          </w:tcPr>
          <w:p w:rsidR="00EB5DEC" w:rsidRDefault="00EB5DEC">
            <w:pPr>
              <w:rPr>
                <w:sz w:val="24"/>
                <w:szCs w:val="24"/>
              </w:rPr>
            </w:pPr>
            <w:r>
              <w:t>CURB-65</w:t>
            </w:r>
          </w:p>
        </w:tc>
        <w:tc>
          <w:tcPr>
            <w:tcW w:w="0" w:type="auto"/>
            <w:vAlign w:val="center"/>
            <w:hideMark/>
          </w:tcPr>
          <w:p w:rsidR="00EB5DEC" w:rsidRDefault="00EB5DEC">
            <w:pPr>
              <w:rPr>
                <w:sz w:val="24"/>
                <w:szCs w:val="24"/>
              </w:rPr>
            </w:pPr>
            <w:r>
              <w:t>Pneumonia risk</w:t>
            </w:r>
          </w:p>
        </w:tc>
        <w:tc>
          <w:tcPr>
            <w:tcW w:w="0" w:type="auto"/>
            <w:vAlign w:val="center"/>
            <w:hideMark/>
          </w:tcPr>
          <w:p w:rsidR="00EB5DEC" w:rsidRDefault="00EB5DEC">
            <w:pPr>
              <w:rPr>
                <w:sz w:val="24"/>
                <w:szCs w:val="24"/>
              </w:rPr>
            </w:pPr>
            <w:r>
              <w:t>{1}{2}</w:t>
            </w:r>
          </w:p>
        </w:tc>
      </w:tr>
      <w:tr w:rsidR="00EB5DEC" w:rsidTr="00EB5DEC">
        <w:trPr>
          <w:tblCellSpacing w:w="15" w:type="dxa"/>
        </w:trPr>
        <w:tc>
          <w:tcPr>
            <w:tcW w:w="0" w:type="auto"/>
            <w:vAlign w:val="center"/>
            <w:hideMark/>
          </w:tcPr>
          <w:p w:rsidR="00EB5DEC" w:rsidRDefault="00EB5DEC">
            <w:pPr>
              <w:rPr>
                <w:sz w:val="24"/>
                <w:szCs w:val="24"/>
              </w:rPr>
            </w:pPr>
            <w:proofErr w:type="spellStart"/>
            <w:r>
              <w:t>qSOFA</w:t>
            </w:r>
            <w:proofErr w:type="spellEnd"/>
          </w:p>
        </w:tc>
        <w:tc>
          <w:tcPr>
            <w:tcW w:w="0" w:type="auto"/>
            <w:vAlign w:val="center"/>
            <w:hideMark/>
          </w:tcPr>
          <w:p w:rsidR="00EB5DEC" w:rsidRDefault="00EB5DEC">
            <w:pPr>
              <w:rPr>
                <w:sz w:val="24"/>
                <w:szCs w:val="24"/>
              </w:rPr>
            </w:pPr>
            <w:r>
              <w:t>Sepsis risk indicator</w:t>
            </w:r>
          </w:p>
        </w:tc>
        <w:tc>
          <w:tcPr>
            <w:tcW w:w="0" w:type="auto"/>
            <w:vAlign w:val="center"/>
            <w:hideMark/>
          </w:tcPr>
          <w:p w:rsidR="00EB5DEC" w:rsidRDefault="00EB5DEC">
            <w:pPr>
              <w:rPr>
                <w:sz w:val="24"/>
                <w:szCs w:val="24"/>
              </w:rPr>
            </w:pPr>
            <w:r>
              <w:t>{2}</w:t>
            </w:r>
          </w:p>
        </w:tc>
      </w:tr>
      <w:tr w:rsidR="00EB5DEC" w:rsidTr="00EB5DEC">
        <w:trPr>
          <w:tblCellSpacing w:w="15" w:type="dxa"/>
        </w:trPr>
        <w:tc>
          <w:tcPr>
            <w:tcW w:w="0" w:type="auto"/>
            <w:vAlign w:val="center"/>
            <w:hideMark/>
          </w:tcPr>
          <w:p w:rsidR="00EB5DEC" w:rsidRDefault="00EB5DEC">
            <w:pPr>
              <w:rPr>
                <w:sz w:val="24"/>
                <w:szCs w:val="24"/>
              </w:rPr>
            </w:pPr>
            <w:r>
              <w:t>LIPS</w:t>
            </w:r>
          </w:p>
        </w:tc>
        <w:tc>
          <w:tcPr>
            <w:tcW w:w="0" w:type="auto"/>
            <w:vAlign w:val="center"/>
            <w:hideMark/>
          </w:tcPr>
          <w:p w:rsidR="00EB5DEC" w:rsidRDefault="00EB5DEC">
            <w:pPr>
              <w:rPr>
                <w:sz w:val="24"/>
                <w:szCs w:val="24"/>
              </w:rPr>
            </w:pPr>
            <w:r>
              <w:t>Early ARDS prediction</w:t>
            </w:r>
          </w:p>
        </w:tc>
        <w:tc>
          <w:tcPr>
            <w:tcW w:w="0" w:type="auto"/>
            <w:vAlign w:val="center"/>
            <w:hideMark/>
          </w:tcPr>
          <w:p w:rsidR="00EB5DEC" w:rsidRDefault="00EB5DEC">
            <w:pPr>
              <w:rPr>
                <w:sz w:val="24"/>
                <w:szCs w:val="24"/>
              </w:rPr>
            </w:pPr>
            <w:r>
              <w:t>{1}{9}{8}{10}</w:t>
            </w:r>
          </w:p>
        </w:tc>
      </w:tr>
    </w:tbl>
    <w:p w:rsidR="00EB5DEC" w:rsidRDefault="00EB5DEC" w:rsidP="00EB5DEC">
      <w:pPr>
        <w:pStyle w:val="my-0"/>
        <w:numPr>
          <w:ilvl w:val="0"/>
          <w:numId w:val="12"/>
        </w:numPr>
      </w:pPr>
      <w:r>
        <w:rPr>
          <w:rStyle w:val="Strong"/>
        </w:rPr>
        <w:t>Evidence:</w:t>
      </w:r>
      <w:r>
        <w:t xml:space="preserve"> All above scores leverage integrated, multimodal data and are externally validated in large cohorts {1</w:t>
      </w:r>
      <w:proofErr w:type="gramStart"/>
      <w:r>
        <w:t>}{</w:t>
      </w:r>
      <w:proofErr w:type="gramEnd"/>
      <w:r>
        <w:t>9}{8}.</w:t>
      </w:r>
    </w:p>
    <w:p w:rsidR="00EB5DEC" w:rsidRDefault="00EB5DEC" w:rsidP="00EB5DEC">
      <w:pPr>
        <w:pStyle w:val="Heading2"/>
      </w:pPr>
      <w:r>
        <w:t>6. Advanced and Additional Data Inputs</w:t>
      </w:r>
    </w:p>
    <w:p w:rsidR="00EB5DEC" w:rsidRDefault="00EB5DEC" w:rsidP="00EB5DEC">
      <w:pPr>
        <w:pStyle w:val="my-0"/>
        <w:numPr>
          <w:ilvl w:val="0"/>
          <w:numId w:val="13"/>
        </w:numPr>
      </w:pPr>
      <w:r>
        <w:rPr>
          <w:rStyle w:val="Strong"/>
        </w:rPr>
        <w:t>Key Elements:</w:t>
      </w:r>
      <w:r>
        <w:t xml:space="preserve"> Continuous waveform data (</w:t>
      </w:r>
      <w:proofErr w:type="spellStart"/>
      <w:r>
        <w:t>capnography</w:t>
      </w:r>
      <w:proofErr w:type="spellEnd"/>
      <w:r>
        <w:t xml:space="preserve">, </w:t>
      </w:r>
      <w:proofErr w:type="spellStart"/>
      <w:r>
        <w:t>plethysmography</w:t>
      </w:r>
      <w:proofErr w:type="spellEnd"/>
      <w:r>
        <w:t>), mechanical ventilation parameters, microbiological results.</w:t>
      </w:r>
    </w:p>
    <w:p w:rsidR="00EB5DEC" w:rsidRDefault="00EB5DEC" w:rsidP="00EB5DEC">
      <w:pPr>
        <w:pStyle w:val="my-0"/>
        <w:numPr>
          <w:ilvl w:val="0"/>
          <w:numId w:val="13"/>
        </w:numPr>
      </w:pPr>
      <w:r>
        <w:rPr>
          <w:rStyle w:val="Strong"/>
        </w:rPr>
        <w:t>Evidence:</w:t>
      </w:r>
      <w:r>
        <w:t xml:space="preserve"> These further refine risk in advanced models and ICU settings {5</w:t>
      </w:r>
      <w:proofErr w:type="gramStart"/>
      <w:r>
        <w:t>}{</w:t>
      </w:r>
      <w:proofErr w:type="gramEnd"/>
      <w:r>
        <w:t>11}.</w:t>
      </w:r>
    </w:p>
    <w:p w:rsidR="00EB5DEC" w:rsidRDefault="00EB5DEC" w:rsidP="00EB5DEC">
      <w:pPr>
        <w:pStyle w:val="my-0"/>
        <w:numPr>
          <w:ilvl w:val="0"/>
          <w:numId w:val="13"/>
        </w:numPr>
      </w:pPr>
      <w:r>
        <w:rPr>
          <w:rStyle w:val="Strong"/>
        </w:rPr>
        <w:t>Additional Factors:</w:t>
      </w:r>
      <w:r>
        <w:t xml:space="preserve"> Medication use, functional status, genetic/biomarker data, symptom descriptors, and social/environmental context have all been incorporated into recent machine learning frameworks for improved real-world prediction {6}{3}{4}.</w:t>
      </w:r>
    </w:p>
    <w:p w:rsidR="00EB5DEC" w:rsidRDefault="00EB5DEC" w:rsidP="00EB5DEC">
      <w:pPr>
        <w:pStyle w:val="my-0"/>
        <w:numPr>
          <w:ilvl w:val="0"/>
          <w:numId w:val="13"/>
        </w:numPr>
      </w:pPr>
      <w:r>
        <w:rPr>
          <w:rStyle w:val="Strong"/>
        </w:rPr>
        <w:t>Integration:</w:t>
      </w:r>
      <w:r>
        <w:t xml:space="preserve"> Use of these data, supported by recent research, enhances individualized and early risk prediction {5</w:t>
      </w:r>
      <w:proofErr w:type="gramStart"/>
      <w:r>
        <w:t>}{</w:t>
      </w:r>
      <w:proofErr w:type="gramEnd"/>
      <w:r>
        <w:t>11}{7}.</w:t>
      </w:r>
    </w:p>
    <w:p w:rsidR="00EB5DEC" w:rsidRDefault="00EB5DEC" w:rsidP="00EB5DEC">
      <w:pPr>
        <w:pStyle w:val="Heading2"/>
      </w:pPr>
      <w:r>
        <w:t>7. Multimodal and Machine Learning (ML) Approaches</w:t>
      </w:r>
    </w:p>
    <w:p w:rsidR="00EB5DEC" w:rsidRDefault="00EB5DEC" w:rsidP="00EB5DEC">
      <w:pPr>
        <w:pStyle w:val="my-0"/>
        <w:numPr>
          <w:ilvl w:val="0"/>
          <w:numId w:val="14"/>
        </w:numPr>
      </w:pPr>
      <w:r>
        <w:rPr>
          <w:rStyle w:val="Strong"/>
        </w:rPr>
        <w:t>Key Insights:</w:t>
      </w:r>
      <w:r>
        <w:t xml:space="preserve"> Integration of clinical, laboratory, waveform, imaging, and genetic/biomarker data is superior to any single variable set {6</w:t>
      </w:r>
      <w:proofErr w:type="gramStart"/>
      <w:r>
        <w:t>}{</w:t>
      </w:r>
      <w:proofErr w:type="gramEnd"/>
      <w:r>
        <w:t>5}{7}{3}{4}.</w:t>
      </w:r>
    </w:p>
    <w:p w:rsidR="00EB5DEC" w:rsidRDefault="00EB5DEC" w:rsidP="00EB5DEC">
      <w:pPr>
        <w:pStyle w:val="my-0"/>
        <w:numPr>
          <w:ilvl w:val="0"/>
          <w:numId w:val="14"/>
        </w:numPr>
      </w:pPr>
      <w:r>
        <w:rPr>
          <w:rStyle w:val="Strong"/>
        </w:rPr>
        <w:t>Evidence:</w:t>
      </w:r>
      <w:r>
        <w:t xml:space="preserve"> ML models have achieved robust validation for predicting ARDS, need for ventilation, and respiratory failure—often with AUC values above 0.8, when built using multimodal data {6}{5}{7}.</w:t>
      </w:r>
    </w:p>
    <w:p w:rsidR="00EB5DEC" w:rsidRDefault="00EB5DEC" w:rsidP="00EB5DEC">
      <w:pPr>
        <w:pStyle w:val="Heading2"/>
      </w:pPr>
      <w:r>
        <w:t>Summary Table: Research-Supported Data Inputs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8"/>
        <w:gridCol w:w="3456"/>
      </w:tblGrid>
      <w:tr w:rsidR="00EB5DEC" w:rsidTr="00EB5DEC">
        <w:trPr>
          <w:tblHeader/>
          <w:tblCellSpacing w:w="15" w:type="dxa"/>
        </w:trPr>
        <w:tc>
          <w:tcPr>
            <w:tcW w:w="0" w:type="auto"/>
            <w:vAlign w:val="center"/>
            <w:hideMark/>
          </w:tcPr>
          <w:p w:rsidR="00EB5DEC" w:rsidRDefault="00EB5DEC">
            <w:pPr>
              <w:jc w:val="center"/>
              <w:rPr>
                <w:b/>
                <w:bCs/>
                <w:sz w:val="24"/>
                <w:szCs w:val="24"/>
              </w:rPr>
            </w:pPr>
            <w:r>
              <w:rPr>
                <w:b/>
                <w:bCs/>
              </w:rPr>
              <w:t>Data Input</w:t>
            </w:r>
          </w:p>
        </w:tc>
        <w:tc>
          <w:tcPr>
            <w:tcW w:w="0" w:type="auto"/>
            <w:vAlign w:val="center"/>
            <w:hideMark/>
          </w:tcPr>
          <w:p w:rsidR="00EB5DEC" w:rsidRDefault="00EB5DEC">
            <w:pPr>
              <w:jc w:val="center"/>
              <w:rPr>
                <w:b/>
                <w:bCs/>
                <w:sz w:val="24"/>
                <w:szCs w:val="24"/>
              </w:rPr>
            </w:pPr>
            <w:r>
              <w:rPr>
                <w:b/>
                <w:bCs/>
              </w:rPr>
              <w:t>Supported by Peer-Reviewed Studies</w:t>
            </w:r>
          </w:p>
        </w:tc>
      </w:tr>
      <w:tr w:rsidR="00EB5DEC" w:rsidTr="00EB5DEC">
        <w:trPr>
          <w:tblCellSpacing w:w="15" w:type="dxa"/>
        </w:trPr>
        <w:tc>
          <w:tcPr>
            <w:tcW w:w="0" w:type="auto"/>
            <w:vAlign w:val="center"/>
            <w:hideMark/>
          </w:tcPr>
          <w:p w:rsidR="00EB5DEC" w:rsidRDefault="00EB5DEC">
            <w:pPr>
              <w:rPr>
                <w:sz w:val="24"/>
                <w:szCs w:val="24"/>
              </w:rPr>
            </w:pPr>
            <w:r>
              <w:t>Demographics &amp; risk factors</w:t>
            </w:r>
          </w:p>
        </w:tc>
        <w:tc>
          <w:tcPr>
            <w:tcW w:w="0" w:type="auto"/>
            <w:vAlign w:val="center"/>
            <w:hideMark/>
          </w:tcPr>
          <w:p w:rsidR="00EB5DEC" w:rsidRDefault="00EB5DEC">
            <w:pPr>
              <w:rPr>
                <w:sz w:val="24"/>
                <w:szCs w:val="24"/>
              </w:rPr>
            </w:pPr>
            <w:r>
              <w:t>{1}{3}{2}{4}</w:t>
            </w:r>
          </w:p>
        </w:tc>
      </w:tr>
      <w:tr w:rsidR="00EB5DEC" w:rsidTr="00EB5DEC">
        <w:trPr>
          <w:tblCellSpacing w:w="15" w:type="dxa"/>
        </w:trPr>
        <w:tc>
          <w:tcPr>
            <w:tcW w:w="0" w:type="auto"/>
            <w:vAlign w:val="center"/>
            <w:hideMark/>
          </w:tcPr>
          <w:p w:rsidR="00EB5DEC" w:rsidRDefault="00EB5DEC">
            <w:pPr>
              <w:rPr>
                <w:sz w:val="24"/>
                <w:szCs w:val="24"/>
              </w:rPr>
            </w:pPr>
            <w:r>
              <w:t>Vital signs (</w:t>
            </w:r>
            <w:proofErr w:type="spellStart"/>
            <w:r>
              <w:t>SpO</w:t>
            </w:r>
            <w:proofErr w:type="spellEnd"/>
            <w:r>
              <w:t>₂, HR, RR, etc.)</w:t>
            </w:r>
          </w:p>
        </w:tc>
        <w:tc>
          <w:tcPr>
            <w:tcW w:w="0" w:type="auto"/>
            <w:vAlign w:val="center"/>
            <w:hideMark/>
          </w:tcPr>
          <w:p w:rsidR="00EB5DEC" w:rsidRDefault="00EB5DEC">
            <w:pPr>
              <w:rPr>
                <w:sz w:val="24"/>
                <w:szCs w:val="24"/>
              </w:rPr>
            </w:pPr>
            <w:r>
              <w:t>{1}{5}{2}{11}</w:t>
            </w:r>
          </w:p>
        </w:tc>
      </w:tr>
      <w:tr w:rsidR="00EB5DEC" w:rsidTr="00EB5DEC">
        <w:trPr>
          <w:tblCellSpacing w:w="15" w:type="dxa"/>
        </w:trPr>
        <w:tc>
          <w:tcPr>
            <w:tcW w:w="0" w:type="auto"/>
            <w:vAlign w:val="center"/>
            <w:hideMark/>
          </w:tcPr>
          <w:p w:rsidR="00EB5DEC" w:rsidRDefault="00EB5DEC">
            <w:pPr>
              <w:rPr>
                <w:sz w:val="24"/>
                <w:szCs w:val="24"/>
              </w:rPr>
            </w:pPr>
            <w:r>
              <w:t>Laboratory values (ABG, markers)</w:t>
            </w:r>
          </w:p>
        </w:tc>
        <w:tc>
          <w:tcPr>
            <w:tcW w:w="0" w:type="auto"/>
            <w:vAlign w:val="center"/>
            <w:hideMark/>
          </w:tcPr>
          <w:p w:rsidR="00EB5DEC" w:rsidRDefault="00EB5DEC">
            <w:pPr>
              <w:rPr>
                <w:sz w:val="24"/>
                <w:szCs w:val="24"/>
              </w:rPr>
            </w:pPr>
            <w:r>
              <w:t>{1}{5}{2}</w:t>
            </w:r>
          </w:p>
        </w:tc>
      </w:tr>
      <w:tr w:rsidR="00EB5DEC" w:rsidTr="00EB5DEC">
        <w:trPr>
          <w:tblCellSpacing w:w="15" w:type="dxa"/>
        </w:trPr>
        <w:tc>
          <w:tcPr>
            <w:tcW w:w="0" w:type="auto"/>
            <w:vAlign w:val="center"/>
            <w:hideMark/>
          </w:tcPr>
          <w:p w:rsidR="00EB5DEC" w:rsidRDefault="00EB5DEC">
            <w:pPr>
              <w:rPr>
                <w:sz w:val="24"/>
                <w:szCs w:val="24"/>
              </w:rPr>
            </w:pPr>
            <w:r>
              <w:lastRenderedPageBreak/>
              <w:t>Imaging (X-ray/CT/US)</w:t>
            </w:r>
          </w:p>
        </w:tc>
        <w:tc>
          <w:tcPr>
            <w:tcW w:w="0" w:type="auto"/>
            <w:vAlign w:val="center"/>
            <w:hideMark/>
          </w:tcPr>
          <w:p w:rsidR="00EB5DEC" w:rsidRDefault="00EB5DEC">
            <w:pPr>
              <w:rPr>
                <w:sz w:val="24"/>
                <w:szCs w:val="24"/>
              </w:rPr>
            </w:pPr>
            <w:r>
              <w:t>{6}{7}</w:t>
            </w:r>
          </w:p>
        </w:tc>
      </w:tr>
      <w:tr w:rsidR="00EB5DEC" w:rsidTr="00EB5DEC">
        <w:trPr>
          <w:tblCellSpacing w:w="15" w:type="dxa"/>
        </w:trPr>
        <w:tc>
          <w:tcPr>
            <w:tcW w:w="0" w:type="auto"/>
            <w:vAlign w:val="center"/>
            <w:hideMark/>
          </w:tcPr>
          <w:p w:rsidR="00EB5DEC" w:rsidRDefault="00EB5DEC">
            <w:pPr>
              <w:rPr>
                <w:sz w:val="24"/>
                <w:szCs w:val="24"/>
              </w:rPr>
            </w:pPr>
            <w:r>
              <w:t>Clinical scores (LIPS, APACHE II)</w:t>
            </w:r>
          </w:p>
        </w:tc>
        <w:tc>
          <w:tcPr>
            <w:tcW w:w="0" w:type="auto"/>
            <w:vAlign w:val="center"/>
            <w:hideMark/>
          </w:tcPr>
          <w:p w:rsidR="00EB5DEC" w:rsidRDefault="00EB5DEC">
            <w:pPr>
              <w:rPr>
                <w:sz w:val="24"/>
                <w:szCs w:val="24"/>
              </w:rPr>
            </w:pPr>
            <w:r>
              <w:t>{1}{9}{10}{8}{2}</w:t>
            </w:r>
          </w:p>
        </w:tc>
      </w:tr>
      <w:tr w:rsidR="00EB5DEC" w:rsidTr="00EB5DEC">
        <w:trPr>
          <w:tblCellSpacing w:w="15" w:type="dxa"/>
        </w:trPr>
        <w:tc>
          <w:tcPr>
            <w:tcW w:w="0" w:type="auto"/>
            <w:vAlign w:val="center"/>
            <w:hideMark/>
          </w:tcPr>
          <w:p w:rsidR="00EB5DEC" w:rsidRDefault="00EB5DEC">
            <w:pPr>
              <w:rPr>
                <w:sz w:val="24"/>
                <w:szCs w:val="24"/>
              </w:rPr>
            </w:pPr>
            <w:r>
              <w:t>Advanced monitoring/waveforms</w:t>
            </w:r>
          </w:p>
        </w:tc>
        <w:tc>
          <w:tcPr>
            <w:tcW w:w="0" w:type="auto"/>
            <w:vAlign w:val="center"/>
            <w:hideMark/>
          </w:tcPr>
          <w:p w:rsidR="00EB5DEC" w:rsidRDefault="00EB5DEC">
            <w:pPr>
              <w:rPr>
                <w:sz w:val="24"/>
                <w:szCs w:val="24"/>
              </w:rPr>
            </w:pPr>
            <w:r>
              <w:t>{5}{11}{2}</w:t>
            </w:r>
          </w:p>
        </w:tc>
      </w:tr>
      <w:tr w:rsidR="00EB5DEC" w:rsidTr="00EB5DEC">
        <w:trPr>
          <w:tblCellSpacing w:w="15" w:type="dxa"/>
        </w:trPr>
        <w:tc>
          <w:tcPr>
            <w:tcW w:w="0" w:type="auto"/>
            <w:vAlign w:val="center"/>
            <w:hideMark/>
          </w:tcPr>
          <w:p w:rsidR="00EB5DEC" w:rsidRDefault="00EB5DEC">
            <w:pPr>
              <w:rPr>
                <w:sz w:val="24"/>
                <w:szCs w:val="24"/>
              </w:rPr>
            </w:pPr>
            <w:r>
              <w:t>Microbiological data</w:t>
            </w:r>
          </w:p>
        </w:tc>
        <w:tc>
          <w:tcPr>
            <w:tcW w:w="0" w:type="auto"/>
            <w:vAlign w:val="center"/>
            <w:hideMark/>
          </w:tcPr>
          <w:p w:rsidR="00EB5DEC" w:rsidRDefault="00EB5DEC">
            <w:pPr>
              <w:rPr>
                <w:sz w:val="24"/>
                <w:szCs w:val="24"/>
              </w:rPr>
            </w:pPr>
            <w:r>
              <w:t>{11}{2}</w:t>
            </w:r>
          </w:p>
        </w:tc>
      </w:tr>
      <w:tr w:rsidR="00EB5DEC" w:rsidTr="00EB5DEC">
        <w:trPr>
          <w:tblCellSpacing w:w="15" w:type="dxa"/>
        </w:trPr>
        <w:tc>
          <w:tcPr>
            <w:tcW w:w="0" w:type="auto"/>
            <w:vAlign w:val="center"/>
            <w:hideMark/>
          </w:tcPr>
          <w:p w:rsidR="00EB5DEC" w:rsidRDefault="00EB5DEC">
            <w:pPr>
              <w:rPr>
                <w:sz w:val="24"/>
                <w:szCs w:val="24"/>
              </w:rPr>
            </w:pPr>
            <w:r>
              <w:t>Genetics/biomarkers</w:t>
            </w:r>
          </w:p>
        </w:tc>
        <w:tc>
          <w:tcPr>
            <w:tcW w:w="0" w:type="auto"/>
            <w:vAlign w:val="center"/>
            <w:hideMark/>
          </w:tcPr>
          <w:p w:rsidR="00EB5DEC" w:rsidRDefault="00EB5DEC">
            <w:pPr>
              <w:rPr>
                <w:sz w:val="24"/>
                <w:szCs w:val="24"/>
              </w:rPr>
            </w:pPr>
            <w:r>
              <w:t>{3}{4}</w:t>
            </w:r>
          </w:p>
        </w:tc>
      </w:tr>
      <w:tr w:rsidR="00EB5DEC" w:rsidTr="00EB5DEC">
        <w:trPr>
          <w:tblCellSpacing w:w="15" w:type="dxa"/>
        </w:trPr>
        <w:tc>
          <w:tcPr>
            <w:tcW w:w="0" w:type="auto"/>
            <w:vAlign w:val="center"/>
            <w:hideMark/>
          </w:tcPr>
          <w:p w:rsidR="00EB5DEC" w:rsidRDefault="00EB5DEC">
            <w:pPr>
              <w:rPr>
                <w:sz w:val="24"/>
                <w:szCs w:val="24"/>
              </w:rPr>
            </w:pPr>
            <w:r>
              <w:t>Integrated (multimodal/ML)</w:t>
            </w:r>
          </w:p>
        </w:tc>
        <w:tc>
          <w:tcPr>
            <w:tcW w:w="0" w:type="auto"/>
            <w:vAlign w:val="center"/>
            <w:hideMark/>
          </w:tcPr>
          <w:p w:rsidR="00EB5DEC" w:rsidRDefault="00EB5DEC">
            <w:pPr>
              <w:rPr>
                <w:sz w:val="24"/>
                <w:szCs w:val="24"/>
              </w:rPr>
            </w:pPr>
            <w:r>
              <w:t>{6}{5}{7}{3}{4}{2}{11}</w:t>
            </w:r>
          </w:p>
        </w:tc>
      </w:tr>
    </w:tbl>
    <w:p w:rsidR="00EB5DEC" w:rsidRDefault="00EB5DEC" w:rsidP="00EB5DEC">
      <w:pPr>
        <w:pStyle w:val="Heading2"/>
      </w:pPr>
      <w:r>
        <w:t>Key Research-Supported Insights</w:t>
      </w:r>
    </w:p>
    <w:p w:rsidR="00EB5DEC" w:rsidRDefault="00EB5DEC" w:rsidP="00EB5DEC">
      <w:pPr>
        <w:pStyle w:val="my-0"/>
        <w:numPr>
          <w:ilvl w:val="0"/>
          <w:numId w:val="15"/>
        </w:numPr>
      </w:pPr>
      <w:r>
        <w:rPr>
          <w:rStyle w:val="Strong"/>
        </w:rPr>
        <w:t>Lung Injury Prediction Score (LIPS):</w:t>
      </w:r>
      <w:r>
        <w:t xml:space="preserve"> Validated for early risk and mortality prediction in ARDS across both general and surgical ICU populations {1</w:t>
      </w:r>
      <w:proofErr w:type="gramStart"/>
      <w:r>
        <w:t>}{</w:t>
      </w:r>
      <w:proofErr w:type="gramEnd"/>
      <w:r>
        <w:t>9}{8}{10}.</w:t>
      </w:r>
    </w:p>
    <w:p w:rsidR="00EB5DEC" w:rsidRDefault="00EB5DEC" w:rsidP="00EB5DEC">
      <w:pPr>
        <w:pStyle w:val="my-0"/>
        <w:numPr>
          <w:ilvl w:val="0"/>
          <w:numId w:val="15"/>
        </w:numPr>
      </w:pPr>
      <w:r>
        <w:rPr>
          <w:rStyle w:val="Strong"/>
        </w:rPr>
        <w:t>ML Models:</w:t>
      </w:r>
      <w:r>
        <w:t xml:space="preserve"> Machine learning models combining clinical, laboratory, imaging, and medication data robustly predict impending respiratory failure, often outperforming traditional approaches (AUC &gt;0.8) {5}{7}{11}{2}.</w:t>
      </w:r>
    </w:p>
    <w:p w:rsidR="00EB5DEC" w:rsidRDefault="00EB5DEC" w:rsidP="00EB5DEC">
      <w:pPr>
        <w:pStyle w:val="my-0"/>
        <w:numPr>
          <w:ilvl w:val="0"/>
          <w:numId w:val="15"/>
        </w:numPr>
      </w:pPr>
      <w:r>
        <w:rPr>
          <w:rStyle w:val="Strong"/>
        </w:rPr>
        <w:t>Integrated Approaches:</w:t>
      </w:r>
      <w:r>
        <w:t xml:space="preserve"> Use of multiple data types (clinical, imaging, labs, genetics, monitoring) consistently demonstrates superior performance to models that depend on a single variable set {6</w:t>
      </w:r>
      <w:proofErr w:type="gramStart"/>
      <w:r>
        <w:t>}{</w:t>
      </w:r>
      <w:proofErr w:type="gramEnd"/>
      <w:r>
        <w:t>5}{7}{3}{4}.</w:t>
      </w:r>
    </w:p>
    <w:p w:rsidR="00EB5DEC" w:rsidRDefault="00EB5DEC" w:rsidP="00EB5DEC">
      <w:pPr>
        <w:pStyle w:val="Heading2"/>
      </w:pPr>
      <w:r>
        <w:t>References</w:t>
      </w:r>
    </w:p>
    <w:p w:rsidR="00EB5DEC" w:rsidRDefault="00EB5DEC" w:rsidP="00EB5DEC">
      <w:pPr>
        <w:pStyle w:val="my-0"/>
        <w:numPr>
          <w:ilvl w:val="0"/>
          <w:numId w:val="16"/>
        </w:numPr>
      </w:pPr>
      <w:r>
        <w:t xml:space="preserve">{1} </w:t>
      </w:r>
      <w:hyperlink r:id="rId10" w:tgtFrame="_blank" w:history="1">
        <w:r>
          <w:rPr>
            <w:rStyle w:val="Hyperlink"/>
          </w:rPr>
          <w:t>https://pmc.ncbi.nlm.nih.gov/articles/PMC4537732/</w:t>
        </w:r>
      </w:hyperlink>
    </w:p>
    <w:p w:rsidR="00EB5DEC" w:rsidRDefault="00EB5DEC" w:rsidP="00EB5DEC">
      <w:pPr>
        <w:pStyle w:val="my-0"/>
        <w:numPr>
          <w:ilvl w:val="0"/>
          <w:numId w:val="16"/>
        </w:numPr>
      </w:pPr>
      <w:r>
        <w:t xml:space="preserve">{2} </w:t>
      </w:r>
      <w:hyperlink r:id="rId11" w:tgtFrame="_blank" w:history="1">
        <w:r>
          <w:rPr>
            <w:rStyle w:val="Hyperlink"/>
          </w:rPr>
          <w:t>https://pmc.ncbi.nlm.nih.gov/articles/PMC7931901/</w:t>
        </w:r>
      </w:hyperlink>
    </w:p>
    <w:p w:rsidR="00EB5DEC" w:rsidRDefault="00EB5DEC" w:rsidP="00EB5DEC">
      <w:pPr>
        <w:pStyle w:val="my-0"/>
        <w:numPr>
          <w:ilvl w:val="0"/>
          <w:numId w:val="16"/>
        </w:numPr>
      </w:pPr>
      <w:r>
        <w:t xml:space="preserve">{3} </w:t>
      </w:r>
      <w:hyperlink r:id="rId12" w:tgtFrame="_blank" w:history="1">
        <w:r>
          <w:rPr>
            <w:rStyle w:val="Hyperlink"/>
          </w:rPr>
          <w:t>https://pmc.ncbi.nlm.nih.gov/articles/PMC4167688/</w:t>
        </w:r>
      </w:hyperlink>
    </w:p>
    <w:p w:rsidR="00EB5DEC" w:rsidRDefault="00EB5DEC" w:rsidP="00EB5DEC">
      <w:pPr>
        <w:pStyle w:val="my-0"/>
        <w:numPr>
          <w:ilvl w:val="0"/>
          <w:numId w:val="16"/>
        </w:numPr>
      </w:pPr>
      <w:r>
        <w:t xml:space="preserve">{4} </w:t>
      </w:r>
      <w:hyperlink r:id="rId13" w:tgtFrame="_blank" w:history="1">
        <w:r>
          <w:rPr>
            <w:rStyle w:val="Hyperlink"/>
          </w:rPr>
          <w:t>https://pubmed.ncbi.nlm.nih.gov/39696223/</w:t>
        </w:r>
      </w:hyperlink>
    </w:p>
    <w:p w:rsidR="00EB5DEC" w:rsidRDefault="00EB5DEC" w:rsidP="00EB5DEC">
      <w:pPr>
        <w:pStyle w:val="my-0"/>
        <w:numPr>
          <w:ilvl w:val="0"/>
          <w:numId w:val="16"/>
        </w:numPr>
      </w:pPr>
      <w:r>
        <w:t xml:space="preserve">{5} </w:t>
      </w:r>
      <w:hyperlink r:id="rId14" w:tgtFrame="_blank" w:history="1">
        <w:r>
          <w:rPr>
            <w:rStyle w:val="Hyperlink"/>
          </w:rPr>
          <w:t>https://pmc.ncbi.nlm.nih.gov/articles/PMC7660476/</w:t>
        </w:r>
      </w:hyperlink>
    </w:p>
    <w:p w:rsidR="00EB5DEC" w:rsidRDefault="00EB5DEC" w:rsidP="00EB5DEC">
      <w:pPr>
        <w:pStyle w:val="my-0"/>
        <w:numPr>
          <w:ilvl w:val="0"/>
          <w:numId w:val="16"/>
        </w:numPr>
      </w:pPr>
      <w:r>
        <w:t xml:space="preserve">{6} </w:t>
      </w:r>
      <w:hyperlink r:id="rId15" w:tgtFrame="_blank" w:history="1">
        <w:r>
          <w:rPr>
            <w:rStyle w:val="Hyperlink"/>
          </w:rPr>
          <w:t>https://pubs.rsna.org/doi/full/10.1148/ryai.2021210032</w:t>
        </w:r>
      </w:hyperlink>
    </w:p>
    <w:p w:rsidR="00EB5DEC" w:rsidRDefault="00EB5DEC" w:rsidP="00EB5DEC">
      <w:pPr>
        <w:pStyle w:val="my-0"/>
        <w:numPr>
          <w:ilvl w:val="0"/>
          <w:numId w:val="16"/>
        </w:numPr>
      </w:pPr>
      <w:r>
        <w:t xml:space="preserve">{7} </w:t>
      </w:r>
      <w:hyperlink r:id="rId16" w:tgtFrame="_blank" w:history="1">
        <w:r>
          <w:rPr>
            <w:rStyle w:val="Hyperlink"/>
          </w:rPr>
          <w:t>https://www.nature.com/articles/s41551-020-00633-5</w:t>
        </w:r>
      </w:hyperlink>
    </w:p>
    <w:p w:rsidR="00EB5DEC" w:rsidRDefault="00EB5DEC" w:rsidP="00EB5DEC">
      <w:pPr>
        <w:pStyle w:val="my-0"/>
        <w:numPr>
          <w:ilvl w:val="0"/>
          <w:numId w:val="16"/>
        </w:numPr>
      </w:pPr>
      <w:r>
        <w:t xml:space="preserve">{8} </w:t>
      </w:r>
      <w:hyperlink r:id="rId17" w:tgtFrame="_blank" w:history="1">
        <w:r>
          <w:rPr>
            <w:rStyle w:val="Hyperlink"/>
          </w:rPr>
          <w:t>https://www.sciencedirect.com/science/article/pii/S0422763813001908</w:t>
        </w:r>
      </w:hyperlink>
    </w:p>
    <w:p w:rsidR="00EB5DEC" w:rsidRDefault="00EB5DEC" w:rsidP="00EB5DEC">
      <w:pPr>
        <w:pStyle w:val="my-0"/>
        <w:numPr>
          <w:ilvl w:val="0"/>
          <w:numId w:val="16"/>
        </w:numPr>
      </w:pPr>
      <w:r>
        <w:t xml:space="preserve">{9} </w:t>
      </w:r>
      <w:hyperlink r:id="rId18" w:tgtFrame="_blank" w:history="1">
        <w:r>
          <w:rPr>
            <w:rStyle w:val="Hyperlink"/>
          </w:rPr>
          <w:t>https://eymj.org/DOIx.php?id=10.3349%2Fymj.2021.62.5.417</w:t>
        </w:r>
      </w:hyperlink>
    </w:p>
    <w:p w:rsidR="00EB5DEC" w:rsidRDefault="00EB5DEC" w:rsidP="00EB5DEC">
      <w:pPr>
        <w:pStyle w:val="my-0"/>
        <w:numPr>
          <w:ilvl w:val="0"/>
          <w:numId w:val="16"/>
        </w:numPr>
      </w:pPr>
      <w:r>
        <w:t xml:space="preserve">{10} </w:t>
      </w:r>
      <w:hyperlink r:id="rId19" w:tgtFrame="_blank" w:history="1">
        <w:r>
          <w:rPr>
            <w:rStyle w:val="Hyperlink"/>
          </w:rPr>
          <w:t>https://clinicaltrials.gov/study/NCT00889772</w:t>
        </w:r>
      </w:hyperlink>
    </w:p>
    <w:p w:rsidR="00EB5DEC" w:rsidRDefault="00EB5DEC" w:rsidP="00EB5DEC">
      <w:pPr>
        <w:pStyle w:val="my-0"/>
        <w:numPr>
          <w:ilvl w:val="0"/>
          <w:numId w:val="16"/>
        </w:numPr>
      </w:pPr>
      <w:r>
        <w:t xml:space="preserve">{11} </w:t>
      </w:r>
      <w:hyperlink r:id="rId20" w:tgtFrame="_blank" w:history="1">
        <w:r>
          <w:rPr>
            <w:rStyle w:val="Hyperlink"/>
          </w:rPr>
          <w:t>https://www.nature.com/articles/s41598-024-52061-z</w:t>
        </w:r>
      </w:hyperlink>
    </w:p>
    <w:p w:rsidR="00EB5DEC" w:rsidRDefault="00EB5DEC" w:rsidP="00EB5DEC">
      <w:pPr>
        <w:pStyle w:val="my-0"/>
      </w:pPr>
      <w:r>
        <w:rPr>
          <w:rStyle w:val="Emphasis"/>
        </w:rPr>
        <w:t>All in-text references are numbered in braces for clarity and direct correspondence with the reference list.</w:t>
      </w:r>
    </w:p>
    <w:p w:rsidR="00EB5DEC" w:rsidRDefault="00EB5DEC" w:rsidP="00EB5DEC"/>
    <w:p w:rsidR="004B53F8" w:rsidRDefault="004B53F8" w:rsidP="00EB5DEC"/>
    <w:p w:rsidR="004B53F8" w:rsidRDefault="004B53F8" w:rsidP="00EB5DEC"/>
    <w:p w:rsidR="004B53F8" w:rsidRPr="004B53F8" w:rsidRDefault="004B53F8" w:rsidP="004B53F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B53F8">
        <w:rPr>
          <w:rFonts w:ascii="Times New Roman" w:eastAsia="Times New Roman" w:hAnsi="Times New Roman" w:cs="Times New Roman"/>
          <w:b/>
          <w:bCs/>
          <w:kern w:val="36"/>
          <w:sz w:val="48"/>
          <w:szCs w:val="48"/>
          <w:lang w:eastAsia="en-IN"/>
        </w:rPr>
        <w:lastRenderedPageBreak/>
        <w:t>Deep Learning in Lung Disease Prediction and Defining Post-Prediction Criticality Variables</w:t>
      </w:r>
    </w:p>
    <w:p w:rsidR="004B53F8" w:rsidRPr="004B53F8" w:rsidRDefault="004B53F8" w:rsidP="004B53F8">
      <w:pPr>
        <w:spacing w:before="100" w:beforeAutospacing="1" w:after="100" w:afterAutospacing="1"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sz w:val="24"/>
          <w:szCs w:val="24"/>
          <w:lang w:eastAsia="en-IN"/>
        </w:rPr>
        <w:t>Deep learning has become a powerful tool in predicting lung diseases such as ARDS, pneumonia, and respiratory failure. After the initial disease prediction using these models, critical clinical variables must be considered and interpreted to assess and stratify patient risk, guide interventions, and decide care priorities.</w:t>
      </w:r>
    </w:p>
    <w:p w:rsidR="004B53F8" w:rsidRPr="004B53F8" w:rsidRDefault="004B53F8" w:rsidP="004B53F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53F8">
        <w:rPr>
          <w:rFonts w:ascii="Times New Roman" w:eastAsia="Times New Roman" w:hAnsi="Times New Roman" w:cs="Times New Roman"/>
          <w:b/>
          <w:bCs/>
          <w:sz w:val="36"/>
          <w:szCs w:val="36"/>
          <w:lang w:eastAsia="en-IN"/>
        </w:rPr>
        <w:t>Role of Deep Learning in Disease Prediction</w:t>
      </w:r>
    </w:p>
    <w:p w:rsidR="004B53F8" w:rsidRPr="004B53F8" w:rsidRDefault="004B53F8" w:rsidP="004B53F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b/>
          <w:bCs/>
          <w:sz w:val="24"/>
          <w:szCs w:val="24"/>
          <w:lang w:eastAsia="en-IN"/>
        </w:rPr>
        <w:t>Image Analysis</w:t>
      </w:r>
      <w:r w:rsidRPr="004B53F8">
        <w:rPr>
          <w:rFonts w:ascii="Times New Roman" w:eastAsia="Times New Roman" w:hAnsi="Times New Roman" w:cs="Times New Roman"/>
          <w:sz w:val="24"/>
          <w:szCs w:val="24"/>
          <w:lang w:eastAsia="en-IN"/>
        </w:rPr>
        <w:t xml:space="preserve">: Deep learning models (CNNs, etc.) can </w:t>
      </w:r>
      <w:proofErr w:type="spellStart"/>
      <w:r w:rsidRPr="004B53F8">
        <w:rPr>
          <w:rFonts w:ascii="Times New Roman" w:eastAsia="Times New Roman" w:hAnsi="Times New Roman" w:cs="Times New Roman"/>
          <w:sz w:val="24"/>
          <w:szCs w:val="24"/>
          <w:lang w:eastAsia="en-IN"/>
        </w:rPr>
        <w:t>analyze</w:t>
      </w:r>
      <w:proofErr w:type="spellEnd"/>
      <w:r w:rsidRPr="004B53F8">
        <w:rPr>
          <w:rFonts w:ascii="Times New Roman" w:eastAsia="Times New Roman" w:hAnsi="Times New Roman" w:cs="Times New Roman"/>
          <w:sz w:val="24"/>
          <w:szCs w:val="24"/>
          <w:lang w:eastAsia="en-IN"/>
        </w:rPr>
        <w:t xml:space="preserve"> chest X-rays and CT scans to detect lung pathologies, quantify severity, and recognize patterns suggestive of infection, ARDS, fibrosis, or masses.</w:t>
      </w:r>
    </w:p>
    <w:p w:rsidR="004B53F8" w:rsidRPr="004B53F8" w:rsidRDefault="004B53F8" w:rsidP="004B53F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b/>
          <w:bCs/>
          <w:sz w:val="24"/>
          <w:szCs w:val="24"/>
          <w:lang w:eastAsia="en-IN"/>
        </w:rPr>
        <w:t>Multimodal Data Integration</w:t>
      </w:r>
      <w:r w:rsidRPr="004B53F8">
        <w:rPr>
          <w:rFonts w:ascii="Times New Roman" w:eastAsia="Times New Roman" w:hAnsi="Times New Roman" w:cs="Times New Roman"/>
          <w:sz w:val="24"/>
          <w:szCs w:val="24"/>
          <w:lang w:eastAsia="en-IN"/>
        </w:rPr>
        <w:t>: Models can combine imaging, laboratory, physiological (vital signs), and EHR data for improved prediction accuracy and early detection of deterioration.</w:t>
      </w:r>
    </w:p>
    <w:p w:rsidR="004B53F8" w:rsidRPr="004B53F8" w:rsidRDefault="004B53F8" w:rsidP="004B53F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b/>
          <w:bCs/>
          <w:sz w:val="24"/>
          <w:szCs w:val="24"/>
          <w:lang w:eastAsia="en-IN"/>
        </w:rPr>
        <w:t>Temporal Dynamics</w:t>
      </w:r>
      <w:r w:rsidRPr="004B53F8">
        <w:rPr>
          <w:rFonts w:ascii="Times New Roman" w:eastAsia="Times New Roman" w:hAnsi="Times New Roman" w:cs="Times New Roman"/>
          <w:sz w:val="24"/>
          <w:szCs w:val="24"/>
          <w:lang w:eastAsia="en-IN"/>
        </w:rPr>
        <w:t>: LSTM and other sequence models use trends from continuous monitoring (vitals, labs, waveform data) to forecast patient trajectory and risk.</w:t>
      </w:r>
    </w:p>
    <w:p w:rsidR="004B53F8" w:rsidRPr="004B53F8" w:rsidRDefault="004B53F8" w:rsidP="004B53F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53F8">
        <w:rPr>
          <w:rFonts w:ascii="Times New Roman" w:eastAsia="Times New Roman" w:hAnsi="Times New Roman" w:cs="Times New Roman"/>
          <w:b/>
          <w:bCs/>
          <w:sz w:val="36"/>
          <w:szCs w:val="36"/>
          <w:lang w:eastAsia="en-IN"/>
        </w:rPr>
        <w:t>Key Clinical Variables for Post-Prediction Criticality Assessment</w:t>
      </w:r>
    </w:p>
    <w:p w:rsidR="004B53F8" w:rsidRPr="004B53F8" w:rsidRDefault="004B53F8" w:rsidP="004B53F8">
      <w:pPr>
        <w:spacing w:before="100" w:beforeAutospacing="1" w:after="100" w:afterAutospacing="1"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sz w:val="24"/>
          <w:szCs w:val="24"/>
          <w:lang w:eastAsia="en-IN"/>
        </w:rPr>
        <w:t>After a positive disease prediction (e.g., ARDS risk), clinicians should evaluate the following categories of variables to define the patient’s criticality:</w:t>
      </w:r>
    </w:p>
    <w:p w:rsidR="004B53F8" w:rsidRPr="004B53F8" w:rsidRDefault="004B53F8" w:rsidP="004B53F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53F8">
        <w:rPr>
          <w:rFonts w:ascii="Times New Roman" w:eastAsia="Times New Roman" w:hAnsi="Times New Roman" w:cs="Times New Roman"/>
          <w:b/>
          <w:bCs/>
          <w:sz w:val="36"/>
          <w:szCs w:val="36"/>
          <w:lang w:eastAsia="en-IN"/>
        </w:rPr>
        <w:t>1. Severity of Physiological Disturbance</w:t>
      </w:r>
    </w:p>
    <w:p w:rsidR="004B53F8" w:rsidRPr="004B53F8" w:rsidRDefault="004B53F8" w:rsidP="004B53F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b/>
          <w:bCs/>
          <w:sz w:val="24"/>
          <w:szCs w:val="24"/>
          <w:lang w:eastAsia="en-IN"/>
        </w:rPr>
        <w:t>Hypoxemia</w:t>
      </w:r>
      <w:r w:rsidRPr="004B53F8">
        <w:rPr>
          <w:rFonts w:ascii="Times New Roman" w:eastAsia="Times New Roman" w:hAnsi="Times New Roman" w:cs="Times New Roman"/>
          <w:sz w:val="24"/>
          <w:szCs w:val="24"/>
          <w:lang w:eastAsia="en-IN"/>
        </w:rPr>
        <w:t>: Oxygen saturation (</w:t>
      </w:r>
      <w:proofErr w:type="spellStart"/>
      <w:r w:rsidRPr="004B53F8">
        <w:rPr>
          <w:rFonts w:ascii="Times New Roman" w:eastAsia="Times New Roman" w:hAnsi="Times New Roman" w:cs="Times New Roman"/>
          <w:sz w:val="24"/>
          <w:szCs w:val="24"/>
          <w:lang w:eastAsia="en-IN"/>
        </w:rPr>
        <w:t>SpO</w:t>
      </w:r>
      <w:proofErr w:type="spellEnd"/>
      <w:r w:rsidRPr="004B53F8">
        <w:rPr>
          <w:rFonts w:ascii="Times New Roman" w:eastAsia="Times New Roman" w:hAnsi="Times New Roman" w:cs="Times New Roman"/>
          <w:sz w:val="24"/>
          <w:szCs w:val="24"/>
          <w:lang w:eastAsia="en-IN"/>
        </w:rPr>
        <w:t xml:space="preserve">₂), arterial </w:t>
      </w:r>
      <w:proofErr w:type="spellStart"/>
      <w:r w:rsidRPr="004B53F8">
        <w:rPr>
          <w:rFonts w:ascii="Times New Roman" w:eastAsia="Times New Roman" w:hAnsi="Times New Roman" w:cs="Times New Roman"/>
          <w:sz w:val="24"/>
          <w:szCs w:val="24"/>
          <w:lang w:eastAsia="en-IN"/>
        </w:rPr>
        <w:t>PaO</w:t>
      </w:r>
      <w:proofErr w:type="spellEnd"/>
      <w:r w:rsidRPr="004B53F8">
        <w:rPr>
          <w:rFonts w:ascii="Times New Roman" w:eastAsia="Times New Roman" w:hAnsi="Times New Roman" w:cs="Times New Roman"/>
          <w:sz w:val="24"/>
          <w:szCs w:val="24"/>
          <w:lang w:eastAsia="en-IN"/>
        </w:rPr>
        <w:t>₂/</w:t>
      </w:r>
      <w:proofErr w:type="spellStart"/>
      <w:r w:rsidRPr="004B53F8">
        <w:rPr>
          <w:rFonts w:ascii="Times New Roman" w:eastAsia="Times New Roman" w:hAnsi="Times New Roman" w:cs="Times New Roman"/>
          <w:sz w:val="24"/>
          <w:szCs w:val="24"/>
          <w:lang w:eastAsia="en-IN"/>
        </w:rPr>
        <w:t>FiO</w:t>
      </w:r>
      <w:proofErr w:type="spellEnd"/>
      <w:r w:rsidRPr="004B53F8">
        <w:rPr>
          <w:rFonts w:ascii="Times New Roman" w:eastAsia="Times New Roman" w:hAnsi="Times New Roman" w:cs="Times New Roman"/>
          <w:sz w:val="24"/>
          <w:szCs w:val="24"/>
          <w:lang w:eastAsia="en-IN"/>
        </w:rPr>
        <w:t>₂ ratio</w:t>
      </w:r>
    </w:p>
    <w:p w:rsidR="004B53F8" w:rsidRPr="004B53F8" w:rsidRDefault="004B53F8" w:rsidP="004B53F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b/>
          <w:bCs/>
          <w:sz w:val="24"/>
          <w:szCs w:val="24"/>
          <w:lang w:eastAsia="en-IN"/>
        </w:rPr>
        <w:t>Respiratory Rate and Mechanics</w:t>
      </w:r>
      <w:r w:rsidRPr="004B53F8">
        <w:rPr>
          <w:rFonts w:ascii="Times New Roman" w:eastAsia="Times New Roman" w:hAnsi="Times New Roman" w:cs="Times New Roman"/>
          <w:sz w:val="24"/>
          <w:szCs w:val="24"/>
          <w:lang w:eastAsia="en-IN"/>
        </w:rPr>
        <w:t xml:space="preserve">: </w:t>
      </w:r>
      <w:proofErr w:type="spellStart"/>
      <w:r w:rsidRPr="004B53F8">
        <w:rPr>
          <w:rFonts w:ascii="Times New Roman" w:eastAsia="Times New Roman" w:hAnsi="Times New Roman" w:cs="Times New Roman"/>
          <w:sz w:val="24"/>
          <w:szCs w:val="24"/>
          <w:lang w:eastAsia="en-IN"/>
        </w:rPr>
        <w:t>Tachypnea</w:t>
      </w:r>
      <w:proofErr w:type="spellEnd"/>
      <w:r w:rsidRPr="004B53F8">
        <w:rPr>
          <w:rFonts w:ascii="Times New Roman" w:eastAsia="Times New Roman" w:hAnsi="Times New Roman" w:cs="Times New Roman"/>
          <w:sz w:val="24"/>
          <w:szCs w:val="24"/>
          <w:lang w:eastAsia="en-IN"/>
        </w:rPr>
        <w:t>, use of accessory muscles, mechanical ventilation parameters (tidal volume, PEEP)</w:t>
      </w:r>
    </w:p>
    <w:p w:rsidR="004B53F8" w:rsidRPr="004B53F8" w:rsidRDefault="004B53F8" w:rsidP="004B53F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b/>
          <w:bCs/>
          <w:sz w:val="24"/>
          <w:szCs w:val="24"/>
          <w:lang w:eastAsia="en-IN"/>
        </w:rPr>
        <w:t>Acid-Base Status</w:t>
      </w:r>
      <w:r w:rsidRPr="004B53F8">
        <w:rPr>
          <w:rFonts w:ascii="Times New Roman" w:eastAsia="Times New Roman" w:hAnsi="Times New Roman" w:cs="Times New Roman"/>
          <w:sz w:val="24"/>
          <w:szCs w:val="24"/>
          <w:lang w:eastAsia="en-IN"/>
        </w:rPr>
        <w:t xml:space="preserve">: ABG analysis for pH, </w:t>
      </w:r>
      <w:proofErr w:type="spellStart"/>
      <w:r w:rsidRPr="004B53F8">
        <w:rPr>
          <w:rFonts w:ascii="Times New Roman" w:eastAsia="Times New Roman" w:hAnsi="Times New Roman" w:cs="Times New Roman"/>
          <w:sz w:val="24"/>
          <w:szCs w:val="24"/>
          <w:lang w:eastAsia="en-IN"/>
        </w:rPr>
        <w:t>pCO</w:t>
      </w:r>
      <w:proofErr w:type="spellEnd"/>
      <w:r w:rsidRPr="004B53F8">
        <w:rPr>
          <w:rFonts w:ascii="Times New Roman" w:eastAsia="Times New Roman" w:hAnsi="Times New Roman" w:cs="Times New Roman"/>
          <w:sz w:val="24"/>
          <w:szCs w:val="24"/>
          <w:lang w:eastAsia="en-IN"/>
        </w:rPr>
        <w:t>₂, HCO₃⁻, lactate</w:t>
      </w:r>
    </w:p>
    <w:p w:rsidR="004B53F8" w:rsidRPr="004B53F8" w:rsidRDefault="004B53F8" w:rsidP="004B53F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b/>
          <w:bCs/>
          <w:sz w:val="24"/>
          <w:szCs w:val="24"/>
          <w:lang w:eastAsia="en-IN"/>
        </w:rPr>
        <w:t>Hemodynamic Instability</w:t>
      </w:r>
      <w:r w:rsidRPr="004B53F8">
        <w:rPr>
          <w:rFonts w:ascii="Times New Roman" w:eastAsia="Times New Roman" w:hAnsi="Times New Roman" w:cs="Times New Roman"/>
          <w:sz w:val="24"/>
          <w:szCs w:val="24"/>
          <w:lang w:eastAsia="en-IN"/>
        </w:rPr>
        <w:t>: Hypotension, arrhythmias, need for vasopressors</w:t>
      </w:r>
    </w:p>
    <w:p w:rsidR="004B53F8" w:rsidRPr="004B53F8" w:rsidRDefault="004B53F8" w:rsidP="004B53F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53F8">
        <w:rPr>
          <w:rFonts w:ascii="Times New Roman" w:eastAsia="Times New Roman" w:hAnsi="Times New Roman" w:cs="Times New Roman"/>
          <w:b/>
          <w:bCs/>
          <w:sz w:val="36"/>
          <w:szCs w:val="36"/>
          <w:lang w:eastAsia="en-IN"/>
        </w:rPr>
        <w:t>2. Laboratory and Biomarker Trends</w:t>
      </w:r>
    </w:p>
    <w:p w:rsidR="004B53F8" w:rsidRPr="004B53F8" w:rsidRDefault="004B53F8" w:rsidP="004B53F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b/>
          <w:bCs/>
          <w:sz w:val="24"/>
          <w:szCs w:val="24"/>
          <w:lang w:eastAsia="en-IN"/>
        </w:rPr>
        <w:t>Inflammatory Markers</w:t>
      </w:r>
      <w:r w:rsidRPr="004B53F8">
        <w:rPr>
          <w:rFonts w:ascii="Times New Roman" w:eastAsia="Times New Roman" w:hAnsi="Times New Roman" w:cs="Times New Roman"/>
          <w:sz w:val="24"/>
          <w:szCs w:val="24"/>
          <w:lang w:eastAsia="en-IN"/>
        </w:rPr>
        <w:t xml:space="preserve">: CRP, </w:t>
      </w:r>
      <w:proofErr w:type="spellStart"/>
      <w:r w:rsidRPr="004B53F8">
        <w:rPr>
          <w:rFonts w:ascii="Times New Roman" w:eastAsia="Times New Roman" w:hAnsi="Times New Roman" w:cs="Times New Roman"/>
          <w:sz w:val="24"/>
          <w:szCs w:val="24"/>
          <w:lang w:eastAsia="en-IN"/>
        </w:rPr>
        <w:t>procalcitonin</w:t>
      </w:r>
      <w:proofErr w:type="spellEnd"/>
      <w:r w:rsidRPr="004B53F8">
        <w:rPr>
          <w:rFonts w:ascii="Times New Roman" w:eastAsia="Times New Roman" w:hAnsi="Times New Roman" w:cs="Times New Roman"/>
          <w:sz w:val="24"/>
          <w:szCs w:val="24"/>
          <w:lang w:eastAsia="en-IN"/>
        </w:rPr>
        <w:t>, ferritin, IL-6 (severity and infection assessment)</w:t>
      </w:r>
    </w:p>
    <w:p w:rsidR="004B53F8" w:rsidRPr="004B53F8" w:rsidRDefault="004B53F8" w:rsidP="004B53F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b/>
          <w:bCs/>
          <w:sz w:val="24"/>
          <w:szCs w:val="24"/>
          <w:lang w:eastAsia="en-IN"/>
        </w:rPr>
        <w:t>Organ Injury Markers</w:t>
      </w:r>
      <w:r w:rsidRPr="004B53F8">
        <w:rPr>
          <w:rFonts w:ascii="Times New Roman" w:eastAsia="Times New Roman" w:hAnsi="Times New Roman" w:cs="Times New Roman"/>
          <w:sz w:val="24"/>
          <w:szCs w:val="24"/>
          <w:lang w:eastAsia="en-IN"/>
        </w:rPr>
        <w:t xml:space="preserve">: </w:t>
      </w:r>
      <w:proofErr w:type="spellStart"/>
      <w:r w:rsidRPr="004B53F8">
        <w:rPr>
          <w:rFonts w:ascii="Times New Roman" w:eastAsia="Times New Roman" w:hAnsi="Times New Roman" w:cs="Times New Roman"/>
          <w:sz w:val="24"/>
          <w:szCs w:val="24"/>
          <w:lang w:eastAsia="en-IN"/>
        </w:rPr>
        <w:t>Creatinine</w:t>
      </w:r>
      <w:proofErr w:type="spellEnd"/>
      <w:r w:rsidRPr="004B53F8">
        <w:rPr>
          <w:rFonts w:ascii="Times New Roman" w:eastAsia="Times New Roman" w:hAnsi="Times New Roman" w:cs="Times New Roman"/>
          <w:sz w:val="24"/>
          <w:szCs w:val="24"/>
          <w:lang w:eastAsia="en-IN"/>
        </w:rPr>
        <w:t xml:space="preserve"> (kidney), troponin (heart), transaminases (liver)</w:t>
      </w:r>
    </w:p>
    <w:p w:rsidR="004B53F8" w:rsidRPr="004B53F8" w:rsidRDefault="004B53F8" w:rsidP="004B53F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b/>
          <w:bCs/>
          <w:sz w:val="24"/>
          <w:szCs w:val="24"/>
          <w:lang w:eastAsia="en-IN"/>
        </w:rPr>
        <w:t>Coagulation Profile</w:t>
      </w:r>
      <w:r w:rsidRPr="004B53F8">
        <w:rPr>
          <w:rFonts w:ascii="Times New Roman" w:eastAsia="Times New Roman" w:hAnsi="Times New Roman" w:cs="Times New Roman"/>
          <w:sz w:val="24"/>
          <w:szCs w:val="24"/>
          <w:lang w:eastAsia="en-IN"/>
        </w:rPr>
        <w:t>: D-dimer (thrombosis risk), platelets</w:t>
      </w:r>
    </w:p>
    <w:p w:rsidR="004B53F8" w:rsidRPr="004B53F8" w:rsidRDefault="004B53F8" w:rsidP="004B53F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53F8">
        <w:rPr>
          <w:rFonts w:ascii="Times New Roman" w:eastAsia="Times New Roman" w:hAnsi="Times New Roman" w:cs="Times New Roman"/>
          <w:b/>
          <w:bCs/>
          <w:sz w:val="36"/>
          <w:szCs w:val="36"/>
          <w:lang w:eastAsia="en-IN"/>
        </w:rPr>
        <w:t>3. Imaging Progression</w:t>
      </w:r>
    </w:p>
    <w:p w:rsidR="004B53F8" w:rsidRPr="004B53F8" w:rsidRDefault="004B53F8" w:rsidP="004B53F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b/>
          <w:bCs/>
          <w:sz w:val="24"/>
          <w:szCs w:val="24"/>
          <w:lang w:eastAsia="en-IN"/>
        </w:rPr>
        <w:lastRenderedPageBreak/>
        <w:t>Extent and Pattern of Lung Involvement</w:t>
      </w:r>
      <w:r w:rsidRPr="004B53F8">
        <w:rPr>
          <w:rFonts w:ascii="Times New Roman" w:eastAsia="Times New Roman" w:hAnsi="Times New Roman" w:cs="Times New Roman"/>
          <w:sz w:val="24"/>
          <w:szCs w:val="24"/>
          <w:lang w:eastAsia="en-IN"/>
        </w:rPr>
        <w:t>: On CXR or CT (e.g., bilateral consolidations, ground glass opacities)</w:t>
      </w:r>
    </w:p>
    <w:p w:rsidR="004B53F8" w:rsidRPr="004B53F8" w:rsidRDefault="004B53F8" w:rsidP="004B53F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b/>
          <w:bCs/>
          <w:sz w:val="24"/>
          <w:szCs w:val="24"/>
          <w:lang w:eastAsia="en-IN"/>
        </w:rPr>
        <w:t>Change Over Time</w:t>
      </w:r>
      <w:r w:rsidRPr="004B53F8">
        <w:rPr>
          <w:rFonts w:ascii="Times New Roman" w:eastAsia="Times New Roman" w:hAnsi="Times New Roman" w:cs="Times New Roman"/>
          <w:sz w:val="24"/>
          <w:szCs w:val="24"/>
          <w:lang w:eastAsia="en-IN"/>
        </w:rPr>
        <w:t>: Worsening infiltrates or new findings</w:t>
      </w:r>
    </w:p>
    <w:p w:rsidR="004B53F8" w:rsidRPr="004B53F8" w:rsidRDefault="004B53F8" w:rsidP="004B53F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53F8">
        <w:rPr>
          <w:rFonts w:ascii="Times New Roman" w:eastAsia="Times New Roman" w:hAnsi="Times New Roman" w:cs="Times New Roman"/>
          <w:b/>
          <w:bCs/>
          <w:sz w:val="36"/>
          <w:szCs w:val="36"/>
          <w:lang w:eastAsia="en-IN"/>
        </w:rPr>
        <w:t>4. Clinical Scoring Systems</w:t>
      </w:r>
    </w:p>
    <w:p w:rsidR="004B53F8" w:rsidRPr="004B53F8" w:rsidRDefault="004B53F8" w:rsidP="004B53F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b/>
          <w:bCs/>
          <w:sz w:val="24"/>
          <w:szCs w:val="24"/>
          <w:lang w:eastAsia="en-IN"/>
        </w:rPr>
        <w:t>ARDS Severity Scores</w:t>
      </w:r>
      <w:r w:rsidRPr="004B53F8">
        <w:rPr>
          <w:rFonts w:ascii="Times New Roman" w:eastAsia="Times New Roman" w:hAnsi="Times New Roman" w:cs="Times New Roman"/>
          <w:sz w:val="24"/>
          <w:szCs w:val="24"/>
          <w:lang w:eastAsia="en-IN"/>
        </w:rPr>
        <w:t>: Murray Lung Injury Score, Berlin Definition for ARDS</w:t>
      </w:r>
    </w:p>
    <w:p w:rsidR="004B53F8" w:rsidRPr="004B53F8" w:rsidRDefault="004B53F8" w:rsidP="004B53F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b/>
          <w:bCs/>
          <w:sz w:val="24"/>
          <w:szCs w:val="24"/>
          <w:lang w:eastAsia="en-IN"/>
        </w:rPr>
        <w:t>Global Illness Scoring</w:t>
      </w:r>
      <w:r w:rsidRPr="004B53F8">
        <w:rPr>
          <w:rFonts w:ascii="Times New Roman" w:eastAsia="Times New Roman" w:hAnsi="Times New Roman" w:cs="Times New Roman"/>
          <w:sz w:val="24"/>
          <w:szCs w:val="24"/>
          <w:lang w:eastAsia="en-IN"/>
        </w:rPr>
        <w:t>: APACHE II, SOFA, CURB-65 for pneumonia</w:t>
      </w:r>
    </w:p>
    <w:p w:rsidR="004B53F8" w:rsidRPr="004B53F8" w:rsidRDefault="004B53F8" w:rsidP="004B53F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b/>
          <w:bCs/>
          <w:sz w:val="24"/>
          <w:szCs w:val="24"/>
          <w:lang w:eastAsia="en-IN"/>
        </w:rPr>
        <w:t>Rapid Deterioration Warning</w:t>
      </w:r>
      <w:r w:rsidRPr="004B53F8">
        <w:rPr>
          <w:rFonts w:ascii="Times New Roman" w:eastAsia="Times New Roman" w:hAnsi="Times New Roman" w:cs="Times New Roman"/>
          <w:sz w:val="24"/>
          <w:szCs w:val="24"/>
          <w:lang w:eastAsia="en-IN"/>
        </w:rPr>
        <w:t xml:space="preserve">: </w:t>
      </w:r>
      <w:proofErr w:type="spellStart"/>
      <w:r w:rsidRPr="004B53F8">
        <w:rPr>
          <w:rFonts w:ascii="Times New Roman" w:eastAsia="Times New Roman" w:hAnsi="Times New Roman" w:cs="Times New Roman"/>
          <w:sz w:val="24"/>
          <w:szCs w:val="24"/>
          <w:lang w:eastAsia="en-IN"/>
        </w:rPr>
        <w:t>qSOFA</w:t>
      </w:r>
      <w:proofErr w:type="spellEnd"/>
      <w:r w:rsidRPr="004B53F8">
        <w:rPr>
          <w:rFonts w:ascii="Times New Roman" w:eastAsia="Times New Roman" w:hAnsi="Times New Roman" w:cs="Times New Roman"/>
          <w:sz w:val="24"/>
          <w:szCs w:val="24"/>
          <w:lang w:eastAsia="en-IN"/>
        </w:rPr>
        <w:t xml:space="preserve"> (for sepsis/shock)</w:t>
      </w:r>
    </w:p>
    <w:p w:rsidR="004B53F8" w:rsidRPr="004B53F8" w:rsidRDefault="004B53F8" w:rsidP="004B53F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53F8">
        <w:rPr>
          <w:rFonts w:ascii="Times New Roman" w:eastAsia="Times New Roman" w:hAnsi="Times New Roman" w:cs="Times New Roman"/>
          <w:b/>
          <w:bCs/>
          <w:sz w:val="36"/>
          <w:szCs w:val="36"/>
          <w:lang w:eastAsia="en-IN"/>
        </w:rPr>
        <w:t>5. Support and Complications</w:t>
      </w:r>
    </w:p>
    <w:p w:rsidR="004B53F8" w:rsidRPr="004B53F8" w:rsidRDefault="004B53F8" w:rsidP="004B53F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b/>
          <w:bCs/>
          <w:sz w:val="24"/>
          <w:szCs w:val="24"/>
          <w:lang w:eastAsia="en-IN"/>
        </w:rPr>
        <w:t>Respiratory Support Needs</w:t>
      </w:r>
      <w:r w:rsidRPr="004B53F8">
        <w:rPr>
          <w:rFonts w:ascii="Times New Roman" w:eastAsia="Times New Roman" w:hAnsi="Times New Roman" w:cs="Times New Roman"/>
          <w:sz w:val="24"/>
          <w:szCs w:val="24"/>
          <w:lang w:eastAsia="en-IN"/>
        </w:rPr>
        <w:t>: High-flow oxygen, non-invasive ventilation, mechanical ventilation, or ECMO</w:t>
      </w:r>
    </w:p>
    <w:p w:rsidR="004B53F8" w:rsidRPr="004B53F8" w:rsidRDefault="004B53F8" w:rsidP="004B53F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b/>
          <w:bCs/>
          <w:sz w:val="24"/>
          <w:szCs w:val="24"/>
          <w:lang w:eastAsia="en-IN"/>
        </w:rPr>
        <w:t>Multi-Organ Dysfunction</w:t>
      </w:r>
      <w:r w:rsidRPr="004B53F8">
        <w:rPr>
          <w:rFonts w:ascii="Times New Roman" w:eastAsia="Times New Roman" w:hAnsi="Times New Roman" w:cs="Times New Roman"/>
          <w:sz w:val="24"/>
          <w:szCs w:val="24"/>
          <w:lang w:eastAsia="en-IN"/>
        </w:rPr>
        <w:t>: Kidney injury, cardiac dysfunction, liver abnormalities</w:t>
      </w:r>
    </w:p>
    <w:p w:rsidR="004B53F8" w:rsidRPr="004B53F8" w:rsidRDefault="004B53F8" w:rsidP="004B53F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B53F8">
        <w:rPr>
          <w:rFonts w:ascii="Times New Roman" w:eastAsia="Times New Roman" w:hAnsi="Times New Roman" w:cs="Times New Roman"/>
          <w:b/>
          <w:bCs/>
          <w:sz w:val="24"/>
          <w:szCs w:val="24"/>
          <w:lang w:eastAsia="en-IN"/>
        </w:rPr>
        <w:t>Superinfections</w:t>
      </w:r>
      <w:proofErr w:type="spellEnd"/>
      <w:r w:rsidRPr="004B53F8">
        <w:rPr>
          <w:rFonts w:ascii="Times New Roman" w:eastAsia="Times New Roman" w:hAnsi="Times New Roman" w:cs="Times New Roman"/>
          <w:sz w:val="24"/>
          <w:szCs w:val="24"/>
          <w:lang w:eastAsia="en-IN"/>
        </w:rPr>
        <w:t>: Secondary bacterial or fungal infections</w:t>
      </w:r>
    </w:p>
    <w:p w:rsidR="004B53F8" w:rsidRPr="004B53F8" w:rsidRDefault="004B53F8" w:rsidP="004B53F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53F8">
        <w:rPr>
          <w:rFonts w:ascii="Times New Roman" w:eastAsia="Times New Roman" w:hAnsi="Times New Roman" w:cs="Times New Roman"/>
          <w:b/>
          <w:bCs/>
          <w:sz w:val="36"/>
          <w:szCs w:val="36"/>
          <w:lang w:eastAsia="en-IN"/>
        </w:rPr>
        <w:t>6. Patient-</w:t>
      </w:r>
      <w:proofErr w:type="spellStart"/>
      <w:r w:rsidRPr="004B53F8">
        <w:rPr>
          <w:rFonts w:ascii="Times New Roman" w:eastAsia="Times New Roman" w:hAnsi="Times New Roman" w:cs="Times New Roman"/>
          <w:b/>
          <w:bCs/>
          <w:sz w:val="36"/>
          <w:szCs w:val="36"/>
          <w:lang w:eastAsia="en-IN"/>
        </w:rPr>
        <w:t>Centered</w:t>
      </w:r>
      <w:proofErr w:type="spellEnd"/>
      <w:r w:rsidRPr="004B53F8">
        <w:rPr>
          <w:rFonts w:ascii="Times New Roman" w:eastAsia="Times New Roman" w:hAnsi="Times New Roman" w:cs="Times New Roman"/>
          <w:b/>
          <w:bCs/>
          <w:sz w:val="36"/>
          <w:szCs w:val="36"/>
          <w:lang w:eastAsia="en-IN"/>
        </w:rPr>
        <w:t xml:space="preserve"> and Contextual Factors</w:t>
      </w:r>
    </w:p>
    <w:p w:rsidR="004B53F8" w:rsidRPr="004B53F8" w:rsidRDefault="004B53F8" w:rsidP="004B53F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b/>
          <w:bCs/>
          <w:sz w:val="24"/>
          <w:szCs w:val="24"/>
          <w:lang w:eastAsia="en-IN"/>
        </w:rPr>
        <w:t>Age and Comorbidities</w:t>
      </w:r>
      <w:r w:rsidRPr="004B53F8">
        <w:rPr>
          <w:rFonts w:ascii="Times New Roman" w:eastAsia="Times New Roman" w:hAnsi="Times New Roman" w:cs="Times New Roman"/>
          <w:sz w:val="24"/>
          <w:szCs w:val="24"/>
          <w:lang w:eastAsia="en-IN"/>
        </w:rPr>
        <w:t>: Influence recovery potential and outcome</w:t>
      </w:r>
    </w:p>
    <w:p w:rsidR="004B53F8" w:rsidRPr="004B53F8" w:rsidRDefault="004B53F8" w:rsidP="004B53F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b/>
          <w:bCs/>
          <w:sz w:val="24"/>
          <w:szCs w:val="24"/>
          <w:lang w:eastAsia="en-IN"/>
        </w:rPr>
        <w:t>Functional and Frailty Status</w:t>
      </w:r>
      <w:r w:rsidRPr="004B53F8">
        <w:rPr>
          <w:rFonts w:ascii="Times New Roman" w:eastAsia="Times New Roman" w:hAnsi="Times New Roman" w:cs="Times New Roman"/>
          <w:sz w:val="24"/>
          <w:szCs w:val="24"/>
          <w:lang w:eastAsia="en-IN"/>
        </w:rPr>
        <w:t>: Baseline ADLs, mobility</w:t>
      </w:r>
    </w:p>
    <w:p w:rsidR="004B53F8" w:rsidRPr="004B53F8" w:rsidRDefault="004B53F8" w:rsidP="004B53F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b/>
          <w:bCs/>
          <w:sz w:val="24"/>
          <w:szCs w:val="24"/>
          <w:lang w:eastAsia="en-IN"/>
        </w:rPr>
        <w:t>Recent Trends</w:t>
      </w:r>
      <w:r w:rsidRPr="004B53F8">
        <w:rPr>
          <w:rFonts w:ascii="Times New Roman" w:eastAsia="Times New Roman" w:hAnsi="Times New Roman" w:cs="Times New Roman"/>
          <w:sz w:val="24"/>
          <w:szCs w:val="24"/>
          <w:lang w:eastAsia="en-IN"/>
        </w:rPr>
        <w:t>: Deterioration pace, response to treatment in the immediate pre-prediction period</w:t>
      </w:r>
    </w:p>
    <w:p w:rsidR="004B53F8" w:rsidRPr="004B53F8" w:rsidRDefault="004B53F8" w:rsidP="004B53F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53F8">
        <w:rPr>
          <w:rFonts w:ascii="Times New Roman" w:eastAsia="Times New Roman" w:hAnsi="Times New Roman" w:cs="Times New Roman"/>
          <w:b/>
          <w:bCs/>
          <w:sz w:val="36"/>
          <w:szCs w:val="36"/>
          <w:lang w:eastAsia="en-IN"/>
        </w:rPr>
        <w:t xml:space="preserve">Table: Critical Variables to Assess Lung Disease Severity </w:t>
      </w:r>
      <w:proofErr w:type="gramStart"/>
      <w:r w:rsidRPr="004B53F8">
        <w:rPr>
          <w:rFonts w:ascii="Times New Roman" w:eastAsia="Times New Roman" w:hAnsi="Times New Roman" w:cs="Times New Roman"/>
          <w:b/>
          <w:bCs/>
          <w:sz w:val="36"/>
          <w:szCs w:val="36"/>
          <w:lang w:eastAsia="en-IN"/>
        </w:rPr>
        <w:t>After</w:t>
      </w:r>
      <w:proofErr w:type="gramEnd"/>
      <w:r w:rsidRPr="004B53F8">
        <w:rPr>
          <w:rFonts w:ascii="Times New Roman" w:eastAsia="Times New Roman" w:hAnsi="Times New Roman" w:cs="Times New Roman"/>
          <w:b/>
          <w:bCs/>
          <w:sz w:val="36"/>
          <w:szCs w:val="36"/>
          <w:lang w:eastAsia="en-IN"/>
        </w:rPr>
        <w:t xml:space="preserve"> Prediction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3667"/>
        <w:gridCol w:w="2615"/>
      </w:tblGrid>
      <w:tr w:rsidR="004B53F8" w:rsidRPr="004B53F8" w:rsidTr="004B53F8">
        <w:trPr>
          <w:tblHeader/>
          <w:tblCellSpacing w:w="15" w:type="dxa"/>
        </w:trPr>
        <w:tc>
          <w:tcPr>
            <w:tcW w:w="0" w:type="auto"/>
            <w:vAlign w:val="center"/>
            <w:hideMark/>
          </w:tcPr>
          <w:p w:rsidR="004B53F8" w:rsidRPr="004B53F8" w:rsidRDefault="004B53F8" w:rsidP="004B53F8">
            <w:pPr>
              <w:spacing w:after="0" w:line="240" w:lineRule="auto"/>
              <w:jc w:val="center"/>
              <w:rPr>
                <w:rFonts w:ascii="Times New Roman" w:eastAsia="Times New Roman" w:hAnsi="Times New Roman" w:cs="Times New Roman"/>
                <w:b/>
                <w:bCs/>
                <w:sz w:val="24"/>
                <w:szCs w:val="24"/>
                <w:lang w:eastAsia="en-IN"/>
              </w:rPr>
            </w:pPr>
            <w:r w:rsidRPr="004B53F8">
              <w:rPr>
                <w:rFonts w:ascii="Times New Roman" w:eastAsia="Times New Roman" w:hAnsi="Times New Roman" w:cs="Times New Roman"/>
                <w:b/>
                <w:bCs/>
                <w:sz w:val="24"/>
                <w:szCs w:val="24"/>
                <w:lang w:eastAsia="en-IN"/>
              </w:rPr>
              <w:t>Domain</w:t>
            </w:r>
          </w:p>
        </w:tc>
        <w:tc>
          <w:tcPr>
            <w:tcW w:w="0" w:type="auto"/>
            <w:vAlign w:val="center"/>
            <w:hideMark/>
          </w:tcPr>
          <w:p w:rsidR="004B53F8" w:rsidRPr="004B53F8" w:rsidRDefault="004B53F8" w:rsidP="004B53F8">
            <w:pPr>
              <w:spacing w:after="0" w:line="240" w:lineRule="auto"/>
              <w:jc w:val="center"/>
              <w:rPr>
                <w:rFonts w:ascii="Times New Roman" w:eastAsia="Times New Roman" w:hAnsi="Times New Roman" w:cs="Times New Roman"/>
                <w:b/>
                <w:bCs/>
                <w:sz w:val="24"/>
                <w:szCs w:val="24"/>
                <w:lang w:eastAsia="en-IN"/>
              </w:rPr>
            </w:pPr>
            <w:r w:rsidRPr="004B53F8">
              <w:rPr>
                <w:rFonts w:ascii="Times New Roman" w:eastAsia="Times New Roman" w:hAnsi="Times New Roman" w:cs="Times New Roman"/>
                <w:b/>
                <w:bCs/>
                <w:sz w:val="24"/>
                <w:szCs w:val="24"/>
                <w:lang w:eastAsia="en-IN"/>
              </w:rPr>
              <w:t>Important Variables</w:t>
            </w:r>
          </w:p>
        </w:tc>
        <w:tc>
          <w:tcPr>
            <w:tcW w:w="0" w:type="auto"/>
            <w:vAlign w:val="center"/>
            <w:hideMark/>
          </w:tcPr>
          <w:p w:rsidR="004B53F8" w:rsidRPr="004B53F8" w:rsidRDefault="004B53F8" w:rsidP="004B53F8">
            <w:pPr>
              <w:spacing w:after="0" w:line="240" w:lineRule="auto"/>
              <w:jc w:val="center"/>
              <w:rPr>
                <w:rFonts w:ascii="Times New Roman" w:eastAsia="Times New Roman" w:hAnsi="Times New Roman" w:cs="Times New Roman"/>
                <w:b/>
                <w:bCs/>
                <w:sz w:val="24"/>
                <w:szCs w:val="24"/>
                <w:lang w:eastAsia="en-IN"/>
              </w:rPr>
            </w:pPr>
            <w:r w:rsidRPr="004B53F8">
              <w:rPr>
                <w:rFonts w:ascii="Times New Roman" w:eastAsia="Times New Roman" w:hAnsi="Times New Roman" w:cs="Times New Roman"/>
                <w:b/>
                <w:bCs/>
                <w:sz w:val="24"/>
                <w:szCs w:val="24"/>
                <w:lang w:eastAsia="en-IN"/>
              </w:rPr>
              <w:t>Example Clinical Use</w:t>
            </w:r>
          </w:p>
        </w:tc>
      </w:tr>
      <w:tr w:rsidR="004B53F8" w:rsidRPr="004B53F8" w:rsidTr="004B53F8">
        <w:trPr>
          <w:tblCellSpacing w:w="15" w:type="dxa"/>
        </w:trPr>
        <w:tc>
          <w:tcPr>
            <w:tcW w:w="0" w:type="auto"/>
            <w:vAlign w:val="center"/>
            <w:hideMark/>
          </w:tcPr>
          <w:p w:rsidR="004B53F8" w:rsidRPr="004B53F8" w:rsidRDefault="004B53F8" w:rsidP="004B53F8">
            <w:pPr>
              <w:spacing w:after="0"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sz w:val="24"/>
                <w:szCs w:val="24"/>
                <w:lang w:eastAsia="en-IN"/>
              </w:rPr>
              <w:t>Physiology</w:t>
            </w:r>
          </w:p>
        </w:tc>
        <w:tc>
          <w:tcPr>
            <w:tcW w:w="0" w:type="auto"/>
            <w:vAlign w:val="center"/>
            <w:hideMark/>
          </w:tcPr>
          <w:p w:rsidR="004B53F8" w:rsidRPr="004B53F8" w:rsidRDefault="004B53F8" w:rsidP="004B53F8">
            <w:pPr>
              <w:spacing w:after="0" w:line="240" w:lineRule="auto"/>
              <w:rPr>
                <w:rFonts w:ascii="Times New Roman" w:eastAsia="Times New Roman" w:hAnsi="Times New Roman" w:cs="Times New Roman"/>
                <w:sz w:val="24"/>
                <w:szCs w:val="24"/>
                <w:lang w:eastAsia="en-IN"/>
              </w:rPr>
            </w:pPr>
            <w:proofErr w:type="spellStart"/>
            <w:r w:rsidRPr="004B53F8">
              <w:rPr>
                <w:rFonts w:ascii="Times New Roman" w:eastAsia="Times New Roman" w:hAnsi="Times New Roman" w:cs="Times New Roman"/>
                <w:sz w:val="24"/>
                <w:szCs w:val="24"/>
                <w:lang w:eastAsia="en-IN"/>
              </w:rPr>
              <w:t>SpO</w:t>
            </w:r>
            <w:proofErr w:type="spellEnd"/>
            <w:r w:rsidRPr="004B53F8">
              <w:rPr>
                <w:rFonts w:ascii="Times New Roman" w:eastAsia="Times New Roman" w:hAnsi="Times New Roman" w:cs="Times New Roman"/>
                <w:sz w:val="24"/>
                <w:szCs w:val="24"/>
                <w:lang w:eastAsia="en-IN"/>
              </w:rPr>
              <w:t xml:space="preserve">₂, </w:t>
            </w:r>
            <w:proofErr w:type="spellStart"/>
            <w:r w:rsidRPr="004B53F8">
              <w:rPr>
                <w:rFonts w:ascii="Times New Roman" w:eastAsia="Times New Roman" w:hAnsi="Times New Roman" w:cs="Times New Roman"/>
                <w:sz w:val="24"/>
                <w:szCs w:val="24"/>
                <w:lang w:eastAsia="en-IN"/>
              </w:rPr>
              <w:t>PaO</w:t>
            </w:r>
            <w:proofErr w:type="spellEnd"/>
            <w:r w:rsidRPr="004B53F8">
              <w:rPr>
                <w:rFonts w:ascii="Times New Roman" w:eastAsia="Times New Roman" w:hAnsi="Times New Roman" w:cs="Times New Roman"/>
                <w:sz w:val="24"/>
                <w:szCs w:val="24"/>
                <w:lang w:eastAsia="en-IN"/>
              </w:rPr>
              <w:t>₂/</w:t>
            </w:r>
            <w:proofErr w:type="spellStart"/>
            <w:r w:rsidRPr="004B53F8">
              <w:rPr>
                <w:rFonts w:ascii="Times New Roman" w:eastAsia="Times New Roman" w:hAnsi="Times New Roman" w:cs="Times New Roman"/>
                <w:sz w:val="24"/>
                <w:szCs w:val="24"/>
                <w:lang w:eastAsia="en-IN"/>
              </w:rPr>
              <w:t>FiO</w:t>
            </w:r>
            <w:proofErr w:type="spellEnd"/>
            <w:r w:rsidRPr="004B53F8">
              <w:rPr>
                <w:rFonts w:ascii="Times New Roman" w:eastAsia="Times New Roman" w:hAnsi="Times New Roman" w:cs="Times New Roman"/>
                <w:sz w:val="24"/>
                <w:szCs w:val="24"/>
                <w:lang w:eastAsia="en-IN"/>
              </w:rPr>
              <w:t>₂, resp. rate, ABG</w:t>
            </w:r>
          </w:p>
        </w:tc>
        <w:tc>
          <w:tcPr>
            <w:tcW w:w="0" w:type="auto"/>
            <w:vAlign w:val="center"/>
            <w:hideMark/>
          </w:tcPr>
          <w:p w:rsidR="004B53F8" w:rsidRPr="004B53F8" w:rsidRDefault="004B53F8" w:rsidP="004B53F8">
            <w:pPr>
              <w:spacing w:after="0"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sz w:val="24"/>
                <w:szCs w:val="24"/>
                <w:lang w:eastAsia="en-IN"/>
              </w:rPr>
              <w:t>Confirm/grade hypoxemia</w:t>
            </w:r>
          </w:p>
        </w:tc>
      </w:tr>
      <w:tr w:rsidR="004B53F8" w:rsidRPr="004B53F8" w:rsidTr="004B53F8">
        <w:trPr>
          <w:tblCellSpacing w:w="15" w:type="dxa"/>
        </w:trPr>
        <w:tc>
          <w:tcPr>
            <w:tcW w:w="0" w:type="auto"/>
            <w:vAlign w:val="center"/>
            <w:hideMark/>
          </w:tcPr>
          <w:p w:rsidR="004B53F8" w:rsidRPr="004B53F8" w:rsidRDefault="004B53F8" w:rsidP="004B53F8">
            <w:pPr>
              <w:spacing w:after="0"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sz w:val="24"/>
                <w:szCs w:val="24"/>
                <w:lang w:eastAsia="en-IN"/>
              </w:rPr>
              <w:t>Lab/Biomarkers</w:t>
            </w:r>
          </w:p>
        </w:tc>
        <w:tc>
          <w:tcPr>
            <w:tcW w:w="0" w:type="auto"/>
            <w:vAlign w:val="center"/>
            <w:hideMark/>
          </w:tcPr>
          <w:p w:rsidR="004B53F8" w:rsidRPr="004B53F8" w:rsidRDefault="004B53F8" w:rsidP="004B53F8">
            <w:pPr>
              <w:spacing w:after="0"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sz w:val="24"/>
                <w:szCs w:val="24"/>
                <w:lang w:eastAsia="en-IN"/>
              </w:rPr>
              <w:t>CRP, ferritin, D-dimer, troponin</w:t>
            </w:r>
          </w:p>
        </w:tc>
        <w:tc>
          <w:tcPr>
            <w:tcW w:w="0" w:type="auto"/>
            <w:vAlign w:val="center"/>
            <w:hideMark/>
          </w:tcPr>
          <w:p w:rsidR="004B53F8" w:rsidRPr="004B53F8" w:rsidRDefault="004B53F8" w:rsidP="004B53F8">
            <w:pPr>
              <w:spacing w:after="0"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sz w:val="24"/>
                <w:szCs w:val="24"/>
                <w:lang w:eastAsia="en-IN"/>
              </w:rPr>
              <w:t>Detect systemic stress</w:t>
            </w:r>
          </w:p>
        </w:tc>
      </w:tr>
      <w:tr w:rsidR="004B53F8" w:rsidRPr="004B53F8" w:rsidTr="004B53F8">
        <w:trPr>
          <w:tblCellSpacing w:w="15" w:type="dxa"/>
        </w:trPr>
        <w:tc>
          <w:tcPr>
            <w:tcW w:w="0" w:type="auto"/>
            <w:vAlign w:val="center"/>
            <w:hideMark/>
          </w:tcPr>
          <w:p w:rsidR="004B53F8" w:rsidRPr="004B53F8" w:rsidRDefault="004B53F8" w:rsidP="004B53F8">
            <w:pPr>
              <w:spacing w:after="0"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sz w:val="24"/>
                <w:szCs w:val="24"/>
                <w:lang w:eastAsia="en-IN"/>
              </w:rPr>
              <w:t>Imaging</w:t>
            </w:r>
          </w:p>
        </w:tc>
        <w:tc>
          <w:tcPr>
            <w:tcW w:w="0" w:type="auto"/>
            <w:vAlign w:val="center"/>
            <w:hideMark/>
          </w:tcPr>
          <w:p w:rsidR="004B53F8" w:rsidRPr="004B53F8" w:rsidRDefault="004B53F8" w:rsidP="004B53F8">
            <w:pPr>
              <w:spacing w:after="0"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sz w:val="24"/>
                <w:szCs w:val="24"/>
                <w:lang w:eastAsia="en-IN"/>
              </w:rPr>
              <w:t>CXR/CT: extent, progression</w:t>
            </w:r>
          </w:p>
        </w:tc>
        <w:tc>
          <w:tcPr>
            <w:tcW w:w="0" w:type="auto"/>
            <w:vAlign w:val="center"/>
            <w:hideMark/>
          </w:tcPr>
          <w:p w:rsidR="004B53F8" w:rsidRPr="004B53F8" w:rsidRDefault="004B53F8" w:rsidP="004B53F8">
            <w:pPr>
              <w:spacing w:after="0"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sz w:val="24"/>
                <w:szCs w:val="24"/>
                <w:lang w:eastAsia="en-IN"/>
              </w:rPr>
              <w:t>Quantify lung injury</w:t>
            </w:r>
          </w:p>
        </w:tc>
      </w:tr>
      <w:tr w:rsidR="004B53F8" w:rsidRPr="004B53F8" w:rsidTr="004B53F8">
        <w:trPr>
          <w:tblCellSpacing w:w="15" w:type="dxa"/>
        </w:trPr>
        <w:tc>
          <w:tcPr>
            <w:tcW w:w="0" w:type="auto"/>
            <w:vAlign w:val="center"/>
            <w:hideMark/>
          </w:tcPr>
          <w:p w:rsidR="004B53F8" w:rsidRPr="004B53F8" w:rsidRDefault="004B53F8" w:rsidP="004B53F8">
            <w:pPr>
              <w:spacing w:after="0"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sz w:val="24"/>
                <w:szCs w:val="24"/>
                <w:lang w:eastAsia="en-IN"/>
              </w:rPr>
              <w:t>Clinical Scores</w:t>
            </w:r>
          </w:p>
        </w:tc>
        <w:tc>
          <w:tcPr>
            <w:tcW w:w="0" w:type="auto"/>
            <w:vAlign w:val="center"/>
            <w:hideMark/>
          </w:tcPr>
          <w:p w:rsidR="004B53F8" w:rsidRPr="004B53F8" w:rsidRDefault="004B53F8" w:rsidP="004B53F8">
            <w:pPr>
              <w:spacing w:after="0"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sz w:val="24"/>
                <w:szCs w:val="24"/>
                <w:lang w:eastAsia="en-IN"/>
              </w:rPr>
              <w:t xml:space="preserve">Murray, APACHE II, SOFA, </w:t>
            </w:r>
            <w:proofErr w:type="spellStart"/>
            <w:r w:rsidRPr="004B53F8">
              <w:rPr>
                <w:rFonts w:ascii="Times New Roman" w:eastAsia="Times New Roman" w:hAnsi="Times New Roman" w:cs="Times New Roman"/>
                <w:sz w:val="24"/>
                <w:szCs w:val="24"/>
                <w:lang w:eastAsia="en-IN"/>
              </w:rPr>
              <w:t>qSOFA</w:t>
            </w:r>
            <w:proofErr w:type="spellEnd"/>
          </w:p>
        </w:tc>
        <w:tc>
          <w:tcPr>
            <w:tcW w:w="0" w:type="auto"/>
            <w:vAlign w:val="center"/>
            <w:hideMark/>
          </w:tcPr>
          <w:p w:rsidR="004B53F8" w:rsidRPr="004B53F8" w:rsidRDefault="004B53F8" w:rsidP="004B53F8">
            <w:pPr>
              <w:spacing w:after="0"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sz w:val="24"/>
                <w:szCs w:val="24"/>
                <w:lang w:eastAsia="en-IN"/>
              </w:rPr>
              <w:t>Risk stratification</w:t>
            </w:r>
          </w:p>
        </w:tc>
      </w:tr>
      <w:tr w:rsidR="004B53F8" w:rsidRPr="004B53F8" w:rsidTr="004B53F8">
        <w:trPr>
          <w:tblCellSpacing w:w="15" w:type="dxa"/>
        </w:trPr>
        <w:tc>
          <w:tcPr>
            <w:tcW w:w="0" w:type="auto"/>
            <w:vAlign w:val="center"/>
            <w:hideMark/>
          </w:tcPr>
          <w:p w:rsidR="004B53F8" w:rsidRPr="004B53F8" w:rsidRDefault="004B53F8" w:rsidP="004B53F8">
            <w:pPr>
              <w:spacing w:after="0"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sz w:val="24"/>
                <w:szCs w:val="24"/>
                <w:lang w:eastAsia="en-IN"/>
              </w:rPr>
              <w:t>Support Needed</w:t>
            </w:r>
          </w:p>
        </w:tc>
        <w:tc>
          <w:tcPr>
            <w:tcW w:w="0" w:type="auto"/>
            <w:vAlign w:val="center"/>
            <w:hideMark/>
          </w:tcPr>
          <w:p w:rsidR="004B53F8" w:rsidRPr="004B53F8" w:rsidRDefault="004B53F8" w:rsidP="004B53F8">
            <w:pPr>
              <w:spacing w:after="0"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sz w:val="24"/>
                <w:szCs w:val="24"/>
                <w:lang w:eastAsia="en-IN"/>
              </w:rPr>
              <w:t xml:space="preserve">Ventilation, ECMO, </w:t>
            </w:r>
            <w:proofErr w:type="spellStart"/>
            <w:r w:rsidRPr="004B53F8">
              <w:rPr>
                <w:rFonts w:ascii="Times New Roman" w:eastAsia="Times New Roman" w:hAnsi="Times New Roman" w:cs="Times New Roman"/>
                <w:sz w:val="24"/>
                <w:szCs w:val="24"/>
                <w:lang w:eastAsia="en-IN"/>
              </w:rPr>
              <w:t>pressors</w:t>
            </w:r>
            <w:proofErr w:type="spellEnd"/>
          </w:p>
        </w:tc>
        <w:tc>
          <w:tcPr>
            <w:tcW w:w="0" w:type="auto"/>
            <w:vAlign w:val="center"/>
            <w:hideMark/>
          </w:tcPr>
          <w:p w:rsidR="004B53F8" w:rsidRPr="004B53F8" w:rsidRDefault="004B53F8" w:rsidP="004B53F8">
            <w:pPr>
              <w:spacing w:after="0"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sz w:val="24"/>
                <w:szCs w:val="24"/>
                <w:lang w:eastAsia="en-IN"/>
              </w:rPr>
              <w:t>Intensity of care</w:t>
            </w:r>
          </w:p>
        </w:tc>
      </w:tr>
      <w:tr w:rsidR="004B53F8" w:rsidRPr="004B53F8" w:rsidTr="004B53F8">
        <w:trPr>
          <w:tblCellSpacing w:w="15" w:type="dxa"/>
        </w:trPr>
        <w:tc>
          <w:tcPr>
            <w:tcW w:w="0" w:type="auto"/>
            <w:vAlign w:val="center"/>
            <w:hideMark/>
          </w:tcPr>
          <w:p w:rsidR="004B53F8" w:rsidRPr="004B53F8" w:rsidRDefault="004B53F8" w:rsidP="004B53F8">
            <w:pPr>
              <w:spacing w:after="0"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sz w:val="24"/>
                <w:szCs w:val="24"/>
                <w:lang w:eastAsia="en-IN"/>
              </w:rPr>
              <w:t>Multi-Organ</w:t>
            </w:r>
          </w:p>
        </w:tc>
        <w:tc>
          <w:tcPr>
            <w:tcW w:w="0" w:type="auto"/>
            <w:vAlign w:val="center"/>
            <w:hideMark/>
          </w:tcPr>
          <w:p w:rsidR="004B53F8" w:rsidRPr="004B53F8" w:rsidRDefault="004B53F8" w:rsidP="004B53F8">
            <w:pPr>
              <w:spacing w:after="0" w:line="240" w:lineRule="auto"/>
              <w:rPr>
                <w:rFonts w:ascii="Times New Roman" w:eastAsia="Times New Roman" w:hAnsi="Times New Roman" w:cs="Times New Roman"/>
                <w:sz w:val="24"/>
                <w:szCs w:val="24"/>
                <w:lang w:eastAsia="en-IN"/>
              </w:rPr>
            </w:pPr>
            <w:proofErr w:type="spellStart"/>
            <w:r w:rsidRPr="004B53F8">
              <w:rPr>
                <w:rFonts w:ascii="Times New Roman" w:eastAsia="Times New Roman" w:hAnsi="Times New Roman" w:cs="Times New Roman"/>
                <w:sz w:val="24"/>
                <w:szCs w:val="24"/>
                <w:lang w:eastAsia="en-IN"/>
              </w:rPr>
              <w:t>Creatinine</w:t>
            </w:r>
            <w:proofErr w:type="spellEnd"/>
            <w:r w:rsidRPr="004B53F8">
              <w:rPr>
                <w:rFonts w:ascii="Times New Roman" w:eastAsia="Times New Roman" w:hAnsi="Times New Roman" w:cs="Times New Roman"/>
                <w:sz w:val="24"/>
                <w:szCs w:val="24"/>
                <w:lang w:eastAsia="en-IN"/>
              </w:rPr>
              <w:t>, LFTs, urine output</w:t>
            </w:r>
          </w:p>
        </w:tc>
        <w:tc>
          <w:tcPr>
            <w:tcW w:w="0" w:type="auto"/>
            <w:vAlign w:val="center"/>
            <w:hideMark/>
          </w:tcPr>
          <w:p w:rsidR="004B53F8" w:rsidRPr="004B53F8" w:rsidRDefault="004B53F8" w:rsidP="004B53F8">
            <w:pPr>
              <w:spacing w:after="0"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sz w:val="24"/>
                <w:szCs w:val="24"/>
                <w:lang w:eastAsia="en-IN"/>
              </w:rPr>
              <w:t>Assess organ failures</w:t>
            </w:r>
          </w:p>
        </w:tc>
      </w:tr>
    </w:tbl>
    <w:p w:rsidR="004B53F8" w:rsidRPr="004B53F8" w:rsidRDefault="004B53F8" w:rsidP="004B53F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53F8">
        <w:rPr>
          <w:rFonts w:ascii="Times New Roman" w:eastAsia="Times New Roman" w:hAnsi="Times New Roman" w:cs="Times New Roman"/>
          <w:b/>
          <w:bCs/>
          <w:sz w:val="36"/>
          <w:szCs w:val="36"/>
          <w:lang w:eastAsia="en-IN"/>
        </w:rPr>
        <w:t>Summary</w:t>
      </w:r>
    </w:p>
    <w:p w:rsidR="004B53F8" w:rsidRPr="004B53F8" w:rsidRDefault="004B53F8" w:rsidP="004B53F8">
      <w:pPr>
        <w:spacing w:before="100" w:beforeAutospacing="1" w:after="100" w:afterAutospacing="1" w:line="240" w:lineRule="auto"/>
        <w:rPr>
          <w:rFonts w:ascii="Times New Roman" w:eastAsia="Times New Roman" w:hAnsi="Times New Roman" w:cs="Times New Roman"/>
          <w:sz w:val="24"/>
          <w:szCs w:val="24"/>
          <w:lang w:eastAsia="en-IN"/>
        </w:rPr>
      </w:pPr>
      <w:r w:rsidRPr="004B53F8">
        <w:rPr>
          <w:rFonts w:ascii="Times New Roman" w:eastAsia="Times New Roman" w:hAnsi="Times New Roman" w:cs="Times New Roman"/>
          <w:sz w:val="24"/>
          <w:szCs w:val="24"/>
          <w:lang w:eastAsia="en-IN"/>
        </w:rPr>
        <w:t>Deep learning models are well-suited for disease prediction using both imaging and non-imaging clinical data. However, defining a patient’s criticality after disease prediction requires integration of key variables listed above. These critical variables—across physiologic, laboratory, imaging, scoring, and contextual domains—not only provide clinical clarity but also guide triage, prognostication, and therapeutic decision-making.</w:t>
      </w:r>
    </w:p>
    <w:p w:rsidR="004B53F8" w:rsidRDefault="004B53F8" w:rsidP="00EB5DEC"/>
    <w:p w:rsidR="004B53F8" w:rsidRDefault="004B53F8" w:rsidP="004B53F8">
      <w:pPr>
        <w:pStyle w:val="Heading1"/>
      </w:pPr>
      <w:r>
        <w:lastRenderedPageBreak/>
        <w:t>Strong Research Evidence: Clinical Variables for Lung Criticality Prediction</w:t>
      </w:r>
    </w:p>
    <w:p w:rsidR="004B53F8" w:rsidRDefault="004B53F8" w:rsidP="004B53F8">
      <w:pPr>
        <w:pStyle w:val="my-0"/>
      </w:pPr>
      <w:r>
        <w:t>Accurate prediction and assessment of lung disease criticality—including ARDS, respiratory failure, and severe pneumonia—require a robust set of clinical variables. The following synthesis details the most essential domains, each strongly supported by recent, peer-reviewed research, with references provided in braces.</w:t>
      </w:r>
    </w:p>
    <w:p w:rsidR="004B53F8" w:rsidRDefault="004B53F8" w:rsidP="004B53F8">
      <w:pPr>
        <w:pStyle w:val="Heading2"/>
      </w:pPr>
      <w:r>
        <w:t>1. Clinical Demographics &amp; Patient History</w:t>
      </w:r>
    </w:p>
    <w:p w:rsidR="004B53F8" w:rsidRDefault="004B53F8" w:rsidP="004B53F8">
      <w:pPr>
        <w:pStyle w:val="my-0"/>
        <w:numPr>
          <w:ilvl w:val="0"/>
          <w:numId w:val="32"/>
        </w:numPr>
      </w:pPr>
      <w:r>
        <w:rPr>
          <w:rStyle w:val="Strong"/>
        </w:rPr>
        <w:t>Age and Sex:</w:t>
      </w:r>
      <w:r>
        <w:t xml:space="preserve"> Robust predictors of disease progression and outcome in pneumonia, ARDS, and respiratory failure {1</w:t>
      </w:r>
      <w:proofErr w:type="gramStart"/>
      <w:r>
        <w:t>}{</w:t>
      </w:r>
      <w:proofErr w:type="gramEnd"/>
      <w:r>
        <w:t>2}{3}.</w:t>
      </w:r>
    </w:p>
    <w:p w:rsidR="004B53F8" w:rsidRDefault="004B53F8" w:rsidP="004B53F8">
      <w:pPr>
        <w:pStyle w:val="my-0"/>
        <w:numPr>
          <w:ilvl w:val="0"/>
          <w:numId w:val="32"/>
        </w:numPr>
      </w:pPr>
      <w:r>
        <w:rPr>
          <w:rStyle w:val="Strong"/>
        </w:rPr>
        <w:t>Comorbidities:</w:t>
      </w:r>
      <w:r>
        <w:t xml:space="preserve"> Hypertension, diabetes, cardiovascular disease, and prior respiratory failure independently elevate risk for hypoxia and adverse respiratory events {1</w:t>
      </w:r>
      <w:proofErr w:type="gramStart"/>
      <w:r>
        <w:t>}{</w:t>
      </w:r>
      <w:proofErr w:type="gramEnd"/>
      <w:r>
        <w:t>2}.</w:t>
      </w:r>
    </w:p>
    <w:p w:rsidR="004B53F8" w:rsidRDefault="004B53F8" w:rsidP="004B53F8">
      <w:pPr>
        <w:pStyle w:val="my-0"/>
        <w:numPr>
          <w:ilvl w:val="0"/>
          <w:numId w:val="32"/>
        </w:numPr>
      </w:pPr>
      <w:r>
        <w:rPr>
          <w:rStyle w:val="Strong"/>
        </w:rPr>
        <w:t>Vaccination and Exposures:</w:t>
      </w:r>
      <w:r>
        <w:t xml:space="preserve"> Vaccination status and prior infectious exposures shape individual disease severity and trajectory {1}.</w:t>
      </w:r>
    </w:p>
    <w:p w:rsidR="004B53F8" w:rsidRDefault="004B53F8" w:rsidP="004B53F8">
      <w:pPr>
        <w:pStyle w:val="Heading2"/>
      </w:pPr>
      <w:r>
        <w:t>2. Vital Signs and Bedside Parameters</w:t>
      </w:r>
    </w:p>
    <w:p w:rsidR="004B53F8" w:rsidRDefault="004B53F8" w:rsidP="004B53F8">
      <w:pPr>
        <w:pStyle w:val="my-0"/>
        <w:numPr>
          <w:ilvl w:val="0"/>
          <w:numId w:val="33"/>
        </w:numPr>
      </w:pPr>
      <w:r>
        <w:rPr>
          <w:rStyle w:val="Strong"/>
        </w:rPr>
        <w:t>Oxygenation:</w:t>
      </w:r>
      <w:r>
        <w:t xml:space="preserve"> Oxygen saturation (</w:t>
      </w:r>
      <w:proofErr w:type="spellStart"/>
      <w:r>
        <w:t>SpO</w:t>
      </w:r>
      <w:proofErr w:type="spellEnd"/>
      <w:r>
        <w:t xml:space="preserve">₂), arterial </w:t>
      </w:r>
      <w:proofErr w:type="spellStart"/>
      <w:r>
        <w:t>PaO</w:t>
      </w:r>
      <w:proofErr w:type="spellEnd"/>
      <w:r>
        <w:t>₂/</w:t>
      </w:r>
      <w:proofErr w:type="spellStart"/>
      <w:r>
        <w:t>FiO</w:t>
      </w:r>
      <w:proofErr w:type="spellEnd"/>
      <w:r>
        <w:t>₂ ratio, and need for supplemental oxygen are primary tools for evaluating hypoxemia and ARDS grading {1</w:t>
      </w:r>
      <w:proofErr w:type="gramStart"/>
      <w:r>
        <w:t>}{</w:t>
      </w:r>
      <w:proofErr w:type="gramEnd"/>
      <w:r>
        <w:t>4}{5}.</w:t>
      </w:r>
    </w:p>
    <w:p w:rsidR="004B53F8" w:rsidRDefault="004B53F8" w:rsidP="004B53F8">
      <w:pPr>
        <w:pStyle w:val="my-0"/>
        <w:numPr>
          <w:ilvl w:val="0"/>
          <w:numId w:val="33"/>
        </w:numPr>
      </w:pPr>
      <w:r>
        <w:rPr>
          <w:rStyle w:val="Strong"/>
        </w:rPr>
        <w:t>Respiratory Rate &amp; Pattern:</w:t>
      </w:r>
      <w:r>
        <w:t xml:space="preserve"> </w:t>
      </w:r>
      <w:proofErr w:type="spellStart"/>
      <w:r>
        <w:t>Tachypnea</w:t>
      </w:r>
      <w:proofErr w:type="spellEnd"/>
      <w:r>
        <w:t xml:space="preserve">, use of accessory muscles, and signs of </w:t>
      </w:r>
      <w:proofErr w:type="spellStart"/>
      <w:r>
        <w:t>labored</w:t>
      </w:r>
      <w:proofErr w:type="spellEnd"/>
      <w:r>
        <w:t xml:space="preserve"> breathing are early, actionable indicators of clinical worsening {4</w:t>
      </w:r>
      <w:proofErr w:type="gramStart"/>
      <w:r>
        <w:t>}{</w:t>
      </w:r>
      <w:proofErr w:type="gramEnd"/>
      <w:r>
        <w:t>5}.</w:t>
      </w:r>
    </w:p>
    <w:p w:rsidR="004B53F8" w:rsidRDefault="004B53F8" w:rsidP="004B53F8">
      <w:pPr>
        <w:pStyle w:val="my-0"/>
        <w:numPr>
          <w:ilvl w:val="0"/>
          <w:numId w:val="33"/>
        </w:numPr>
      </w:pPr>
      <w:r>
        <w:rPr>
          <w:rStyle w:val="Strong"/>
        </w:rPr>
        <w:t>Heart Rate &amp; Blood Pressure:</w:t>
      </w:r>
      <w:r>
        <w:t xml:space="preserve"> Changes in HR and BP are integral to prediction models and offer early signals of global clinical deterioration {1</w:t>
      </w:r>
      <w:proofErr w:type="gramStart"/>
      <w:r>
        <w:t>}{</w:t>
      </w:r>
      <w:proofErr w:type="gramEnd"/>
      <w:r>
        <w:t>2}{5}.</w:t>
      </w:r>
    </w:p>
    <w:p w:rsidR="004B53F8" w:rsidRDefault="004B53F8" w:rsidP="004B53F8">
      <w:pPr>
        <w:pStyle w:val="Heading2"/>
      </w:pPr>
      <w:r>
        <w:t>3. Laboratory Markers</w:t>
      </w:r>
    </w:p>
    <w:p w:rsidR="004B53F8" w:rsidRDefault="004B53F8" w:rsidP="004B53F8">
      <w:pPr>
        <w:pStyle w:val="my-0"/>
        <w:numPr>
          <w:ilvl w:val="0"/>
          <w:numId w:val="34"/>
        </w:numPr>
      </w:pPr>
      <w:r>
        <w:rPr>
          <w:rStyle w:val="Strong"/>
        </w:rPr>
        <w:t>Inflammatory Biomarkers:</w:t>
      </w:r>
      <w:r>
        <w:t xml:space="preserve"> C-reactive protein (CRP), lactate dehydrogenase (LDH), </w:t>
      </w:r>
      <w:proofErr w:type="spellStart"/>
      <w:r>
        <w:t>procalcitonin</w:t>
      </w:r>
      <w:proofErr w:type="spellEnd"/>
      <w:r>
        <w:t>, and fibrinogen are independently associated with pneumonia severity, ARDS risk, and escalation of disease {1</w:t>
      </w:r>
      <w:proofErr w:type="gramStart"/>
      <w:r>
        <w:t>}{</w:t>
      </w:r>
      <w:proofErr w:type="gramEnd"/>
      <w:r>
        <w:t>3}{6}{7}.</w:t>
      </w:r>
    </w:p>
    <w:p w:rsidR="004B53F8" w:rsidRDefault="004B53F8" w:rsidP="004B53F8">
      <w:pPr>
        <w:pStyle w:val="my-0"/>
        <w:numPr>
          <w:ilvl w:val="0"/>
          <w:numId w:val="34"/>
        </w:numPr>
      </w:pPr>
      <w:r>
        <w:rPr>
          <w:rStyle w:val="Strong"/>
        </w:rPr>
        <w:t>Organ Injury &amp; Coagulation:</w:t>
      </w:r>
      <w:r>
        <w:t xml:space="preserve"> AST, D-dimer, </w:t>
      </w:r>
      <w:proofErr w:type="spellStart"/>
      <w:r>
        <w:t>creatinine</w:t>
      </w:r>
      <w:proofErr w:type="spellEnd"/>
      <w:r>
        <w:t>, albumin, lymphocyte count, and BNP/NT-</w:t>
      </w:r>
      <w:proofErr w:type="spellStart"/>
      <w:r>
        <w:t>proBNP</w:t>
      </w:r>
      <w:proofErr w:type="spellEnd"/>
      <w:r>
        <w:t xml:space="preserve"> offer risk stratification for both acute and chronic lung conditions {1</w:t>
      </w:r>
      <w:proofErr w:type="gramStart"/>
      <w:r>
        <w:t>}{</w:t>
      </w:r>
      <w:proofErr w:type="gramEnd"/>
      <w:r>
        <w:t>2}{6}.</w:t>
      </w:r>
    </w:p>
    <w:p w:rsidR="004B53F8" w:rsidRDefault="004B53F8" w:rsidP="004B53F8">
      <w:pPr>
        <w:pStyle w:val="my-0"/>
        <w:numPr>
          <w:ilvl w:val="0"/>
          <w:numId w:val="34"/>
        </w:numPr>
      </w:pPr>
      <w:r>
        <w:rPr>
          <w:rStyle w:val="Strong"/>
        </w:rPr>
        <w:t>SCI Index &amp; Composite Markers:</w:t>
      </w:r>
      <w:r>
        <w:t xml:space="preserve"> Indices integrating inflammation, immune status, and coagulation (such as the SCI score) further heighten predictive accuracy for critical illness and ARDS {2</w:t>
      </w:r>
      <w:proofErr w:type="gramStart"/>
      <w:r>
        <w:t>}{</w:t>
      </w:r>
      <w:proofErr w:type="gramEnd"/>
      <w:r>
        <w:t>3}.</w:t>
      </w:r>
    </w:p>
    <w:p w:rsidR="004B53F8" w:rsidRDefault="004B53F8" w:rsidP="004B53F8">
      <w:pPr>
        <w:pStyle w:val="Heading2"/>
      </w:pPr>
      <w:r>
        <w:t>4. Imaging and Quantitative Scores</w:t>
      </w:r>
    </w:p>
    <w:p w:rsidR="004B53F8" w:rsidRDefault="004B53F8" w:rsidP="004B53F8">
      <w:pPr>
        <w:pStyle w:val="my-0"/>
        <w:numPr>
          <w:ilvl w:val="0"/>
          <w:numId w:val="35"/>
        </w:numPr>
      </w:pPr>
      <w:r>
        <w:rPr>
          <w:rStyle w:val="Strong"/>
        </w:rPr>
        <w:t>Chest X-Ray and CT:</w:t>
      </w:r>
      <w:r>
        <w:t xml:space="preserve"> Quantitative CT metrics (e.g., HAA percentage, consolidation score, ground-glass opacities) and CXR findings improve prediction of respiratory failure and </w:t>
      </w:r>
      <w:proofErr w:type="spellStart"/>
      <w:r>
        <w:t>ventilatory</w:t>
      </w:r>
      <w:proofErr w:type="spellEnd"/>
      <w:r>
        <w:t xml:space="preserve"> needs {1</w:t>
      </w:r>
      <w:proofErr w:type="gramStart"/>
      <w:r>
        <w:t>}{</w:t>
      </w:r>
      <w:proofErr w:type="gramEnd"/>
      <w:r>
        <w:t>8}{9}.</w:t>
      </w:r>
    </w:p>
    <w:p w:rsidR="004B53F8" w:rsidRDefault="004B53F8" w:rsidP="004B53F8">
      <w:pPr>
        <w:pStyle w:val="my-0"/>
        <w:numPr>
          <w:ilvl w:val="0"/>
          <w:numId w:val="35"/>
        </w:numPr>
      </w:pPr>
      <w:r>
        <w:rPr>
          <w:rStyle w:val="Strong"/>
        </w:rPr>
        <w:lastRenderedPageBreak/>
        <w:t>Lung Imaging Scores:</w:t>
      </w:r>
      <w:r>
        <w:t xml:space="preserve"> Summary scores derived from lung ultrasound or CT, when coupled with clinical data, yield superior predictive validity for severe outcomes {8</w:t>
      </w:r>
      <w:proofErr w:type="gramStart"/>
      <w:r>
        <w:t>}{</w:t>
      </w:r>
      <w:proofErr w:type="gramEnd"/>
      <w:r>
        <w:t>4}.</w:t>
      </w:r>
    </w:p>
    <w:p w:rsidR="004B53F8" w:rsidRDefault="004B53F8" w:rsidP="004B53F8">
      <w:pPr>
        <w:pStyle w:val="my-0"/>
        <w:numPr>
          <w:ilvl w:val="0"/>
          <w:numId w:val="35"/>
        </w:numPr>
      </w:pPr>
      <w:r>
        <w:rPr>
          <w:rStyle w:val="Strong"/>
        </w:rPr>
        <w:t>Disease Extent:</w:t>
      </w:r>
      <w:r>
        <w:t xml:space="preserve"> </w:t>
      </w:r>
      <w:proofErr w:type="spellStart"/>
      <w:r>
        <w:t>Ongoing</w:t>
      </w:r>
      <w:proofErr w:type="spellEnd"/>
      <w:r>
        <w:t xml:space="preserve"> assessment of imaging over time (i.e., evolution or progression of lesions) is a powerful predictor of clinical worsening {1</w:t>
      </w:r>
      <w:proofErr w:type="gramStart"/>
      <w:r>
        <w:t>}{</w:t>
      </w:r>
      <w:proofErr w:type="gramEnd"/>
      <w:r>
        <w:t>8}.</w:t>
      </w:r>
    </w:p>
    <w:p w:rsidR="004B53F8" w:rsidRDefault="004B53F8" w:rsidP="004B53F8">
      <w:pPr>
        <w:pStyle w:val="Heading2"/>
      </w:pPr>
      <w:r>
        <w:t>5. Clinical Scoring Systems</w:t>
      </w:r>
    </w:p>
    <w:p w:rsidR="004B53F8" w:rsidRDefault="004B53F8" w:rsidP="004B53F8">
      <w:pPr>
        <w:pStyle w:val="my-0"/>
        <w:numPr>
          <w:ilvl w:val="0"/>
          <w:numId w:val="36"/>
        </w:numPr>
      </w:pPr>
      <w:r>
        <w:rPr>
          <w:rStyle w:val="Strong"/>
        </w:rPr>
        <w:t>Composite Scores:</w:t>
      </w:r>
      <w:r>
        <w:t xml:space="preserve"> Widely accepted tools such as the Murray Lung Injury Score, Berlin ARDS definition, APACHE II, SOFA, and LIPS combine clinical, laboratory, and radiological information for risk stratification and are validated across large, independent cohorts {5}{10}.</w:t>
      </w:r>
    </w:p>
    <w:p w:rsidR="004B53F8" w:rsidRDefault="004B53F8" w:rsidP="004B53F8">
      <w:pPr>
        <w:pStyle w:val="my-0"/>
        <w:numPr>
          <w:ilvl w:val="0"/>
          <w:numId w:val="36"/>
        </w:numPr>
      </w:pPr>
      <w:r>
        <w:rPr>
          <w:rStyle w:val="Strong"/>
        </w:rPr>
        <w:t>Machine Learning Models:</w:t>
      </w:r>
      <w:r>
        <w:t xml:space="preserve"> Modern studies emphasize that multimodal variable inclusion results in robust deep learning models (AUC &gt;0.8) capable of early ARDS and respiratory failure prediction {1</w:t>
      </w:r>
      <w:proofErr w:type="gramStart"/>
      <w:r>
        <w:t>}{</w:t>
      </w:r>
      <w:proofErr w:type="gramEnd"/>
      <w:r>
        <w:t>11}{5}.</w:t>
      </w:r>
    </w:p>
    <w:p w:rsidR="004B53F8" w:rsidRDefault="004B53F8" w:rsidP="004B53F8">
      <w:pPr>
        <w:pStyle w:val="Heading2"/>
      </w:pPr>
      <w:r>
        <w:t>6. Advanced &amp; Emerging Clinical Variables</w:t>
      </w:r>
    </w:p>
    <w:p w:rsidR="004B53F8" w:rsidRDefault="004B53F8" w:rsidP="004B53F8">
      <w:pPr>
        <w:pStyle w:val="my-0"/>
        <w:numPr>
          <w:ilvl w:val="0"/>
          <w:numId w:val="37"/>
        </w:numPr>
      </w:pPr>
      <w:r>
        <w:rPr>
          <w:rStyle w:val="Strong"/>
        </w:rPr>
        <w:t>Microbiological and Molecular Testing:</w:t>
      </w:r>
      <w:r>
        <w:t xml:space="preserve"> Detection of causative organisms and key serum biomarkers (e.g., SP-A/SP-D, KL-6, BNP) supports more nuanced risk stratification, especially in interstitial and infectious lung diseases {6}{7}.</w:t>
      </w:r>
    </w:p>
    <w:p w:rsidR="004B53F8" w:rsidRDefault="004B53F8" w:rsidP="004B53F8">
      <w:pPr>
        <w:pStyle w:val="my-0"/>
        <w:numPr>
          <w:ilvl w:val="0"/>
          <w:numId w:val="37"/>
        </w:numPr>
      </w:pPr>
      <w:r>
        <w:rPr>
          <w:rStyle w:val="Strong"/>
        </w:rPr>
        <w:t>Ventilator-Derived Parameters:</w:t>
      </w:r>
      <w:r>
        <w:t xml:space="preserve"> Parameters such as tidal volume, plateau and driving pressure, and compliance significantly correlate with ARDS outcomes in ventilated patients {4}{12}.</w:t>
      </w:r>
    </w:p>
    <w:p w:rsidR="004B53F8" w:rsidRDefault="004B53F8" w:rsidP="004B53F8">
      <w:pPr>
        <w:pStyle w:val="my-0"/>
        <w:numPr>
          <w:ilvl w:val="0"/>
          <w:numId w:val="37"/>
        </w:numPr>
      </w:pPr>
      <w:r>
        <w:rPr>
          <w:rStyle w:val="Strong"/>
        </w:rPr>
        <w:t>Continuous/Temporal Monitoring:</w:t>
      </w:r>
      <w:r>
        <w:t xml:space="preserve"> Tracking variable trends and changes over time, rather than relying on static values, enhances early detection of clinical deterioration {5}{1}.</w:t>
      </w:r>
    </w:p>
    <w:p w:rsidR="004B53F8" w:rsidRDefault="004B53F8" w:rsidP="004B53F8">
      <w:pPr>
        <w:pStyle w:val="Heading2"/>
      </w:pPr>
      <w:r>
        <w:t>Select Table: Key Clinical Variables and Research Evidence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3"/>
        <w:gridCol w:w="2647"/>
        <w:gridCol w:w="1325"/>
      </w:tblGrid>
      <w:tr w:rsidR="004B53F8" w:rsidTr="004B53F8">
        <w:trPr>
          <w:tblHeader/>
          <w:tblCellSpacing w:w="15" w:type="dxa"/>
        </w:trPr>
        <w:tc>
          <w:tcPr>
            <w:tcW w:w="0" w:type="auto"/>
            <w:vAlign w:val="center"/>
            <w:hideMark/>
          </w:tcPr>
          <w:p w:rsidR="004B53F8" w:rsidRDefault="004B53F8">
            <w:pPr>
              <w:jc w:val="center"/>
              <w:rPr>
                <w:b/>
                <w:bCs/>
                <w:sz w:val="24"/>
                <w:szCs w:val="24"/>
              </w:rPr>
            </w:pPr>
            <w:r>
              <w:rPr>
                <w:b/>
                <w:bCs/>
              </w:rPr>
              <w:t>Category</w:t>
            </w:r>
          </w:p>
        </w:tc>
        <w:tc>
          <w:tcPr>
            <w:tcW w:w="0" w:type="auto"/>
            <w:vAlign w:val="center"/>
            <w:hideMark/>
          </w:tcPr>
          <w:p w:rsidR="004B53F8" w:rsidRDefault="004B53F8">
            <w:pPr>
              <w:jc w:val="center"/>
              <w:rPr>
                <w:b/>
                <w:bCs/>
                <w:sz w:val="24"/>
                <w:szCs w:val="24"/>
              </w:rPr>
            </w:pPr>
            <w:r>
              <w:rPr>
                <w:b/>
                <w:bCs/>
              </w:rPr>
              <w:t>Example Variables</w:t>
            </w:r>
          </w:p>
        </w:tc>
        <w:tc>
          <w:tcPr>
            <w:tcW w:w="0" w:type="auto"/>
            <w:vAlign w:val="center"/>
            <w:hideMark/>
          </w:tcPr>
          <w:p w:rsidR="004B53F8" w:rsidRDefault="004B53F8">
            <w:pPr>
              <w:jc w:val="center"/>
              <w:rPr>
                <w:b/>
                <w:bCs/>
                <w:sz w:val="24"/>
                <w:szCs w:val="24"/>
              </w:rPr>
            </w:pPr>
            <w:r>
              <w:rPr>
                <w:b/>
                <w:bCs/>
              </w:rPr>
              <w:t>Supported By</w:t>
            </w:r>
          </w:p>
        </w:tc>
      </w:tr>
      <w:tr w:rsidR="004B53F8" w:rsidTr="004B53F8">
        <w:trPr>
          <w:tblCellSpacing w:w="15" w:type="dxa"/>
        </w:trPr>
        <w:tc>
          <w:tcPr>
            <w:tcW w:w="0" w:type="auto"/>
            <w:vAlign w:val="center"/>
            <w:hideMark/>
          </w:tcPr>
          <w:p w:rsidR="004B53F8" w:rsidRDefault="004B53F8">
            <w:pPr>
              <w:rPr>
                <w:sz w:val="24"/>
                <w:szCs w:val="24"/>
              </w:rPr>
            </w:pPr>
            <w:r>
              <w:t>Demographics/History</w:t>
            </w:r>
          </w:p>
        </w:tc>
        <w:tc>
          <w:tcPr>
            <w:tcW w:w="0" w:type="auto"/>
            <w:vAlign w:val="center"/>
            <w:hideMark/>
          </w:tcPr>
          <w:p w:rsidR="004B53F8" w:rsidRDefault="004B53F8">
            <w:pPr>
              <w:rPr>
                <w:sz w:val="24"/>
                <w:szCs w:val="24"/>
              </w:rPr>
            </w:pPr>
            <w:r>
              <w:t>Age, sex, comorbidity</w:t>
            </w:r>
          </w:p>
        </w:tc>
        <w:tc>
          <w:tcPr>
            <w:tcW w:w="0" w:type="auto"/>
            <w:vAlign w:val="center"/>
            <w:hideMark/>
          </w:tcPr>
          <w:p w:rsidR="004B53F8" w:rsidRDefault="004B53F8">
            <w:pPr>
              <w:rPr>
                <w:sz w:val="24"/>
                <w:szCs w:val="24"/>
              </w:rPr>
            </w:pPr>
            <w:r>
              <w:t>{1}{2}{3}</w:t>
            </w:r>
          </w:p>
        </w:tc>
      </w:tr>
      <w:tr w:rsidR="004B53F8" w:rsidTr="004B53F8">
        <w:trPr>
          <w:tblCellSpacing w:w="15" w:type="dxa"/>
        </w:trPr>
        <w:tc>
          <w:tcPr>
            <w:tcW w:w="0" w:type="auto"/>
            <w:vAlign w:val="center"/>
            <w:hideMark/>
          </w:tcPr>
          <w:p w:rsidR="004B53F8" w:rsidRDefault="004B53F8">
            <w:pPr>
              <w:rPr>
                <w:sz w:val="24"/>
                <w:szCs w:val="24"/>
              </w:rPr>
            </w:pPr>
            <w:r>
              <w:t>Vital Signs</w:t>
            </w:r>
          </w:p>
        </w:tc>
        <w:tc>
          <w:tcPr>
            <w:tcW w:w="0" w:type="auto"/>
            <w:vAlign w:val="center"/>
            <w:hideMark/>
          </w:tcPr>
          <w:p w:rsidR="004B53F8" w:rsidRDefault="004B53F8">
            <w:pPr>
              <w:rPr>
                <w:sz w:val="24"/>
                <w:szCs w:val="24"/>
              </w:rPr>
            </w:pPr>
            <w:proofErr w:type="spellStart"/>
            <w:r>
              <w:t>SpO</w:t>
            </w:r>
            <w:proofErr w:type="spellEnd"/>
            <w:r>
              <w:t>₂, RR, HR, BP</w:t>
            </w:r>
          </w:p>
        </w:tc>
        <w:tc>
          <w:tcPr>
            <w:tcW w:w="0" w:type="auto"/>
            <w:vAlign w:val="center"/>
            <w:hideMark/>
          </w:tcPr>
          <w:p w:rsidR="004B53F8" w:rsidRDefault="004B53F8">
            <w:pPr>
              <w:rPr>
                <w:sz w:val="24"/>
                <w:szCs w:val="24"/>
              </w:rPr>
            </w:pPr>
            <w:r>
              <w:t>{1}{4}{5}</w:t>
            </w:r>
          </w:p>
        </w:tc>
      </w:tr>
      <w:tr w:rsidR="004B53F8" w:rsidTr="004B53F8">
        <w:trPr>
          <w:tblCellSpacing w:w="15" w:type="dxa"/>
        </w:trPr>
        <w:tc>
          <w:tcPr>
            <w:tcW w:w="0" w:type="auto"/>
            <w:vAlign w:val="center"/>
            <w:hideMark/>
          </w:tcPr>
          <w:p w:rsidR="004B53F8" w:rsidRDefault="004B53F8">
            <w:pPr>
              <w:rPr>
                <w:sz w:val="24"/>
                <w:szCs w:val="24"/>
              </w:rPr>
            </w:pPr>
            <w:r>
              <w:t>Laboratory Markers</w:t>
            </w:r>
          </w:p>
        </w:tc>
        <w:tc>
          <w:tcPr>
            <w:tcW w:w="0" w:type="auto"/>
            <w:vAlign w:val="center"/>
            <w:hideMark/>
          </w:tcPr>
          <w:p w:rsidR="004B53F8" w:rsidRDefault="004B53F8">
            <w:pPr>
              <w:rPr>
                <w:sz w:val="24"/>
                <w:szCs w:val="24"/>
              </w:rPr>
            </w:pPr>
            <w:r>
              <w:t>CRP, LDH, D-dimer, SCI</w:t>
            </w:r>
          </w:p>
        </w:tc>
        <w:tc>
          <w:tcPr>
            <w:tcW w:w="0" w:type="auto"/>
            <w:vAlign w:val="center"/>
            <w:hideMark/>
          </w:tcPr>
          <w:p w:rsidR="004B53F8" w:rsidRDefault="004B53F8">
            <w:pPr>
              <w:rPr>
                <w:sz w:val="24"/>
                <w:szCs w:val="24"/>
              </w:rPr>
            </w:pPr>
            <w:r>
              <w:t>{1}{2}{3}{6}{7}</w:t>
            </w:r>
          </w:p>
        </w:tc>
      </w:tr>
      <w:tr w:rsidR="004B53F8" w:rsidTr="004B53F8">
        <w:trPr>
          <w:tblCellSpacing w:w="15" w:type="dxa"/>
        </w:trPr>
        <w:tc>
          <w:tcPr>
            <w:tcW w:w="0" w:type="auto"/>
            <w:vAlign w:val="center"/>
            <w:hideMark/>
          </w:tcPr>
          <w:p w:rsidR="004B53F8" w:rsidRDefault="004B53F8">
            <w:pPr>
              <w:rPr>
                <w:sz w:val="24"/>
                <w:szCs w:val="24"/>
              </w:rPr>
            </w:pPr>
            <w:r>
              <w:t>Imaging</w:t>
            </w:r>
          </w:p>
        </w:tc>
        <w:tc>
          <w:tcPr>
            <w:tcW w:w="0" w:type="auto"/>
            <w:vAlign w:val="center"/>
            <w:hideMark/>
          </w:tcPr>
          <w:p w:rsidR="004B53F8" w:rsidRDefault="004B53F8">
            <w:pPr>
              <w:rPr>
                <w:sz w:val="24"/>
                <w:szCs w:val="24"/>
              </w:rPr>
            </w:pPr>
            <w:r>
              <w:t>CT/CXR scores, consolidation</w:t>
            </w:r>
          </w:p>
        </w:tc>
        <w:tc>
          <w:tcPr>
            <w:tcW w:w="0" w:type="auto"/>
            <w:vAlign w:val="center"/>
            <w:hideMark/>
          </w:tcPr>
          <w:p w:rsidR="004B53F8" w:rsidRDefault="004B53F8">
            <w:pPr>
              <w:rPr>
                <w:sz w:val="24"/>
                <w:szCs w:val="24"/>
              </w:rPr>
            </w:pPr>
            <w:r>
              <w:t>{1}{8}{9}{5}</w:t>
            </w:r>
          </w:p>
        </w:tc>
      </w:tr>
      <w:tr w:rsidR="004B53F8" w:rsidTr="004B53F8">
        <w:trPr>
          <w:tblCellSpacing w:w="15" w:type="dxa"/>
        </w:trPr>
        <w:tc>
          <w:tcPr>
            <w:tcW w:w="0" w:type="auto"/>
            <w:vAlign w:val="center"/>
            <w:hideMark/>
          </w:tcPr>
          <w:p w:rsidR="004B53F8" w:rsidRDefault="004B53F8">
            <w:pPr>
              <w:rPr>
                <w:sz w:val="24"/>
                <w:szCs w:val="24"/>
              </w:rPr>
            </w:pPr>
            <w:r>
              <w:t>Clinical Scores</w:t>
            </w:r>
          </w:p>
        </w:tc>
        <w:tc>
          <w:tcPr>
            <w:tcW w:w="0" w:type="auto"/>
            <w:vAlign w:val="center"/>
            <w:hideMark/>
          </w:tcPr>
          <w:p w:rsidR="004B53F8" w:rsidRDefault="004B53F8">
            <w:pPr>
              <w:rPr>
                <w:sz w:val="24"/>
                <w:szCs w:val="24"/>
              </w:rPr>
            </w:pPr>
            <w:r>
              <w:t>APACHE II, SOFA, LIPS</w:t>
            </w:r>
          </w:p>
        </w:tc>
        <w:tc>
          <w:tcPr>
            <w:tcW w:w="0" w:type="auto"/>
            <w:vAlign w:val="center"/>
            <w:hideMark/>
          </w:tcPr>
          <w:p w:rsidR="004B53F8" w:rsidRDefault="004B53F8">
            <w:pPr>
              <w:rPr>
                <w:sz w:val="24"/>
                <w:szCs w:val="24"/>
              </w:rPr>
            </w:pPr>
            <w:r>
              <w:t>{5}{10}</w:t>
            </w:r>
          </w:p>
        </w:tc>
      </w:tr>
      <w:tr w:rsidR="004B53F8" w:rsidTr="004B53F8">
        <w:trPr>
          <w:tblCellSpacing w:w="15" w:type="dxa"/>
        </w:trPr>
        <w:tc>
          <w:tcPr>
            <w:tcW w:w="0" w:type="auto"/>
            <w:vAlign w:val="center"/>
            <w:hideMark/>
          </w:tcPr>
          <w:p w:rsidR="004B53F8" w:rsidRDefault="004B53F8">
            <w:pPr>
              <w:rPr>
                <w:sz w:val="24"/>
                <w:szCs w:val="24"/>
              </w:rPr>
            </w:pPr>
            <w:r>
              <w:t>Advanced Data</w:t>
            </w:r>
          </w:p>
        </w:tc>
        <w:tc>
          <w:tcPr>
            <w:tcW w:w="0" w:type="auto"/>
            <w:vAlign w:val="center"/>
            <w:hideMark/>
          </w:tcPr>
          <w:p w:rsidR="004B53F8" w:rsidRDefault="004B53F8">
            <w:pPr>
              <w:rPr>
                <w:sz w:val="24"/>
                <w:szCs w:val="24"/>
              </w:rPr>
            </w:pPr>
            <w:r>
              <w:t>Ventilator/biomarker data</w:t>
            </w:r>
          </w:p>
        </w:tc>
        <w:tc>
          <w:tcPr>
            <w:tcW w:w="0" w:type="auto"/>
            <w:vAlign w:val="center"/>
            <w:hideMark/>
          </w:tcPr>
          <w:p w:rsidR="004B53F8" w:rsidRDefault="004B53F8">
            <w:pPr>
              <w:rPr>
                <w:sz w:val="24"/>
                <w:szCs w:val="24"/>
              </w:rPr>
            </w:pPr>
            <w:r>
              <w:t>{4}{12}{6}{7}</w:t>
            </w:r>
          </w:p>
        </w:tc>
      </w:tr>
    </w:tbl>
    <w:p w:rsidR="00202BB4" w:rsidRDefault="00202BB4" w:rsidP="004B53F8">
      <w:pPr>
        <w:pStyle w:val="Heading2"/>
      </w:pPr>
    </w:p>
    <w:p w:rsidR="004B53F8" w:rsidRDefault="004B53F8" w:rsidP="004B53F8">
      <w:pPr>
        <w:pStyle w:val="Heading2"/>
      </w:pPr>
      <w:bookmarkStart w:id="0" w:name="_GoBack"/>
      <w:bookmarkEnd w:id="0"/>
      <w:r>
        <w:lastRenderedPageBreak/>
        <w:t>Key Research-Backed Insights</w:t>
      </w:r>
    </w:p>
    <w:p w:rsidR="004B53F8" w:rsidRDefault="004B53F8" w:rsidP="004B53F8">
      <w:pPr>
        <w:pStyle w:val="my-0"/>
        <w:numPr>
          <w:ilvl w:val="0"/>
          <w:numId w:val="38"/>
        </w:numPr>
      </w:pPr>
      <w:r>
        <w:t>Integration of demographic, physiological, laboratory, and imaging variables is necessary for optimal lung disease prediction and criticality assessment {1</w:t>
      </w:r>
      <w:proofErr w:type="gramStart"/>
      <w:r>
        <w:t>}{</w:t>
      </w:r>
      <w:proofErr w:type="gramEnd"/>
      <w:r>
        <w:t>2}{5}{8}.</w:t>
      </w:r>
    </w:p>
    <w:p w:rsidR="004B53F8" w:rsidRDefault="004B53F8" w:rsidP="004B53F8">
      <w:pPr>
        <w:pStyle w:val="my-0"/>
        <w:numPr>
          <w:ilvl w:val="0"/>
          <w:numId w:val="38"/>
        </w:numPr>
      </w:pPr>
      <w:r>
        <w:t>Validated scores (e.g., APACHE II, SOFA, LIPS) and dynamic clinical variable trends are most effective for early identification of high-risk states {5</w:t>
      </w:r>
      <w:proofErr w:type="gramStart"/>
      <w:r>
        <w:t>}{</w:t>
      </w:r>
      <w:proofErr w:type="gramEnd"/>
      <w:r>
        <w:t>10}.</w:t>
      </w:r>
    </w:p>
    <w:p w:rsidR="004B53F8" w:rsidRDefault="004B53F8" w:rsidP="004B53F8">
      <w:pPr>
        <w:pStyle w:val="my-0"/>
        <w:numPr>
          <w:ilvl w:val="0"/>
          <w:numId w:val="38"/>
        </w:numPr>
      </w:pPr>
      <w:r>
        <w:t>Recent explainable AI and machine learning studies highlight the importance of multimodal and temporal data inclusion for high predictive validity {11</w:t>
      </w:r>
      <w:proofErr w:type="gramStart"/>
      <w:r>
        <w:t>}{</w:t>
      </w:r>
      <w:proofErr w:type="gramEnd"/>
      <w:r>
        <w:t>3}{8}{9}.</w:t>
      </w:r>
    </w:p>
    <w:p w:rsidR="004B53F8" w:rsidRDefault="004B53F8" w:rsidP="004B53F8">
      <w:pPr>
        <w:pStyle w:val="Heading2"/>
      </w:pPr>
      <w:r>
        <w:t>References</w:t>
      </w:r>
    </w:p>
    <w:p w:rsidR="004B53F8" w:rsidRDefault="004B53F8" w:rsidP="004B53F8">
      <w:pPr>
        <w:pStyle w:val="my-0"/>
      </w:pPr>
      <w:r>
        <w:t xml:space="preserve">{1} </w:t>
      </w:r>
      <w:hyperlink r:id="rId21" w:tgtFrame="_blank" w:history="1">
        <w:r>
          <w:rPr>
            <w:rStyle w:val="Hyperlink"/>
          </w:rPr>
          <w:t>https://pmc.ncbi.nlm.nih.gov/articles/PMC10089866/</w:t>
        </w:r>
      </w:hyperlink>
      <w:r>
        <w:br/>
        <w:t xml:space="preserve">{2} </w:t>
      </w:r>
      <w:hyperlink r:id="rId22" w:tgtFrame="_blank" w:history="1">
        <w:r>
          <w:rPr>
            <w:rStyle w:val="Hyperlink"/>
          </w:rPr>
          <w:t>https://pmc.ncbi.nlm.nih.gov/articles/PMC11869895/</w:t>
        </w:r>
      </w:hyperlink>
      <w:r>
        <w:br/>
        <w:t xml:space="preserve">{3} </w:t>
      </w:r>
      <w:hyperlink r:id="rId23" w:tgtFrame="_blank" w:history="1">
        <w:r>
          <w:rPr>
            <w:rStyle w:val="Hyperlink"/>
          </w:rPr>
          <w:t>https://www.nature.com/articles/s41598-024-77188-x</w:t>
        </w:r>
      </w:hyperlink>
      <w:r>
        <w:br/>
        <w:t xml:space="preserve">{4} </w:t>
      </w:r>
      <w:hyperlink r:id="rId24" w:tgtFrame="_blank" w:history="1">
        <w:r>
          <w:rPr>
            <w:rStyle w:val="Hyperlink"/>
          </w:rPr>
          <w:t>https://pmc.ncbi.nlm.nih.gov/articles/PMC3681336/</w:t>
        </w:r>
      </w:hyperlink>
      <w:r>
        <w:br/>
        <w:t xml:space="preserve">{5} </w:t>
      </w:r>
      <w:hyperlink r:id="rId25" w:tgtFrame="_blank" w:history="1">
        <w:r>
          <w:rPr>
            <w:rStyle w:val="Hyperlink"/>
          </w:rPr>
          <w:t>https://www.nature.com/articles/s41598-024-68653-8</w:t>
        </w:r>
      </w:hyperlink>
      <w:r>
        <w:br/>
        <w:t xml:space="preserve">{6} </w:t>
      </w:r>
      <w:hyperlink r:id="rId26" w:tgtFrame="_blank" w:history="1">
        <w:r>
          <w:rPr>
            <w:rStyle w:val="Hyperlink"/>
          </w:rPr>
          <w:t>https://pmc.ncbi.nlm.nih.gov/articles/PMC7120545/</w:t>
        </w:r>
      </w:hyperlink>
      <w:r>
        <w:br/>
        <w:t xml:space="preserve">{7} </w:t>
      </w:r>
      <w:hyperlink r:id="rId27" w:tgtFrame="_blank" w:history="1">
        <w:r>
          <w:rPr>
            <w:rStyle w:val="Hyperlink"/>
          </w:rPr>
          <w:t>https://pmc.ncbi.nlm.nih.gov/articles/PMC10573548/</w:t>
        </w:r>
      </w:hyperlink>
      <w:r>
        <w:br/>
        <w:t xml:space="preserve">{8} </w:t>
      </w:r>
      <w:hyperlink r:id="rId28" w:tgtFrame="_blank" w:history="1">
        <w:r>
          <w:rPr>
            <w:rStyle w:val="Hyperlink"/>
          </w:rPr>
          <w:t>https://www.mdpi.com/2075-1729/12/5/735</w:t>
        </w:r>
      </w:hyperlink>
      <w:r>
        <w:br/>
        <w:t xml:space="preserve">{9} </w:t>
      </w:r>
      <w:hyperlink r:id="rId29" w:tgtFrame="_blank" w:history="1">
        <w:r>
          <w:rPr>
            <w:rStyle w:val="Hyperlink"/>
          </w:rPr>
          <w:t>https://www.sciencedirect.com/science/article/pii/S2772662224001036</w:t>
        </w:r>
      </w:hyperlink>
      <w:r>
        <w:br/>
        <w:t xml:space="preserve">{10} </w:t>
      </w:r>
      <w:hyperlink r:id="rId30" w:tgtFrame="_blank" w:history="1">
        <w:r>
          <w:rPr>
            <w:rStyle w:val="Hyperlink"/>
          </w:rPr>
          <w:t>https://pmc.ncbi.nlm.nih.gov/articles/PMC7199590/</w:t>
        </w:r>
      </w:hyperlink>
      <w:r>
        <w:br/>
        <w:t xml:space="preserve">{11} </w:t>
      </w:r>
      <w:hyperlink r:id="rId31" w:tgtFrame="_blank" w:history="1">
        <w:r>
          <w:rPr>
            <w:rStyle w:val="Hyperlink"/>
          </w:rPr>
          <w:t>https://www.jmir.org/2025/1/e66615</w:t>
        </w:r>
      </w:hyperlink>
      <w:r>
        <w:br/>
        <w:t xml:space="preserve">{12} </w:t>
      </w:r>
      <w:hyperlink r:id="rId32" w:tgtFrame="_blank" w:history="1">
        <w:r>
          <w:rPr>
            <w:rStyle w:val="Hyperlink"/>
          </w:rPr>
          <w:t>https://atm.amegroups.org/article/view/19973/html</w:t>
        </w:r>
      </w:hyperlink>
    </w:p>
    <w:p w:rsidR="004B53F8" w:rsidRDefault="004B53F8" w:rsidP="004B53F8">
      <w:pPr>
        <w:pStyle w:val="my-0"/>
      </w:pPr>
      <w:r>
        <w:rPr>
          <w:rStyle w:val="Emphasis"/>
        </w:rPr>
        <w:t>Every statement above is anchored in recent, high-quality research. These references justify both the selection and integration of these clinical variables for lung criticality prediction.</w:t>
      </w:r>
    </w:p>
    <w:p w:rsidR="004B53F8" w:rsidRDefault="004B53F8" w:rsidP="004B53F8">
      <w:pPr>
        <w:pStyle w:val="Heading1"/>
      </w:pPr>
    </w:p>
    <w:sectPr w:rsidR="004B5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kGrotesk Fallback">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7575"/>
    <w:multiLevelType w:val="multilevel"/>
    <w:tmpl w:val="9BB2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A24C1"/>
    <w:multiLevelType w:val="multilevel"/>
    <w:tmpl w:val="764C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314D4B"/>
    <w:multiLevelType w:val="multilevel"/>
    <w:tmpl w:val="D314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5D2E58"/>
    <w:multiLevelType w:val="multilevel"/>
    <w:tmpl w:val="65E4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918C2"/>
    <w:multiLevelType w:val="multilevel"/>
    <w:tmpl w:val="25B8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5F5F18"/>
    <w:multiLevelType w:val="multilevel"/>
    <w:tmpl w:val="D73A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8D1AFD"/>
    <w:multiLevelType w:val="multilevel"/>
    <w:tmpl w:val="FF86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595132"/>
    <w:multiLevelType w:val="multilevel"/>
    <w:tmpl w:val="6112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CC360D"/>
    <w:multiLevelType w:val="multilevel"/>
    <w:tmpl w:val="C14A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EC34D1"/>
    <w:multiLevelType w:val="multilevel"/>
    <w:tmpl w:val="E1D6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7C131E"/>
    <w:multiLevelType w:val="multilevel"/>
    <w:tmpl w:val="49C0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8B527D"/>
    <w:multiLevelType w:val="multilevel"/>
    <w:tmpl w:val="984E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F20B68"/>
    <w:multiLevelType w:val="multilevel"/>
    <w:tmpl w:val="A5D8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9A53FE"/>
    <w:multiLevelType w:val="multilevel"/>
    <w:tmpl w:val="E456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3D102B"/>
    <w:multiLevelType w:val="multilevel"/>
    <w:tmpl w:val="CB64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E80527"/>
    <w:multiLevelType w:val="multilevel"/>
    <w:tmpl w:val="C788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871E27"/>
    <w:multiLevelType w:val="multilevel"/>
    <w:tmpl w:val="0ED0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AD7E60"/>
    <w:multiLevelType w:val="multilevel"/>
    <w:tmpl w:val="05EA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58722E"/>
    <w:multiLevelType w:val="multilevel"/>
    <w:tmpl w:val="3D24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6C5BCC"/>
    <w:multiLevelType w:val="multilevel"/>
    <w:tmpl w:val="BA1A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F97CF5"/>
    <w:multiLevelType w:val="multilevel"/>
    <w:tmpl w:val="474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F9671E5"/>
    <w:multiLevelType w:val="multilevel"/>
    <w:tmpl w:val="3924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547BC6"/>
    <w:multiLevelType w:val="multilevel"/>
    <w:tmpl w:val="4840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224E2D"/>
    <w:multiLevelType w:val="multilevel"/>
    <w:tmpl w:val="8F8A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D043BD2"/>
    <w:multiLevelType w:val="multilevel"/>
    <w:tmpl w:val="302E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3D24B3"/>
    <w:multiLevelType w:val="multilevel"/>
    <w:tmpl w:val="282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A26A44"/>
    <w:multiLevelType w:val="multilevel"/>
    <w:tmpl w:val="EE60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20490C"/>
    <w:multiLevelType w:val="multilevel"/>
    <w:tmpl w:val="3CC2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DC7CEC"/>
    <w:multiLevelType w:val="multilevel"/>
    <w:tmpl w:val="67C8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35E49B7"/>
    <w:multiLevelType w:val="multilevel"/>
    <w:tmpl w:val="61E6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DE3306"/>
    <w:multiLevelType w:val="multilevel"/>
    <w:tmpl w:val="4DCC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A32F1C"/>
    <w:multiLevelType w:val="multilevel"/>
    <w:tmpl w:val="E438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5C4B34"/>
    <w:multiLevelType w:val="multilevel"/>
    <w:tmpl w:val="8A34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2A4074"/>
    <w:multiLevelType w:val="multilevel"/>
    <w:tmpl w:val="DCE8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D53569D"/>
    <w:multiLevelType w:val="multilevel"/>
    <w:tmpl w:val="4094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F11A55"/>
    <w:multiLevelType w:val="multilevel"/>
    <w:tmpl w:val="ED7C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7B7EA1"/>
    <w:multiLevelType w:val="multilevel"/>
    <w:tmpl w:val="5382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39705E"/>
    <w:multiLevelType w:val="multilevel"/>
    <w:tmpl w:val="12EE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3"/>
  </w:num>
  <w:num w:numId="3">
    <w:abstractNumId w:val="7"/>
  </w:num>
  <w:num w:numId="4">
    <w:abstractNumId w:val="20"/>
  </w:num>
  <w:num w:numId="5">
    <w:abstractNumId w:val="2"/>
  </w:num>
  <w:num w:numId="6">
    <w:abstractNumId w:val="28"/>
  </w:num>
  <w:num w:numId="7">
    <w:abstractNumId w:val="11"/>
  </w:num>
  <w:num w:numId="8">
    <w:abstractNumId w:val="8"/>
  </w:num>
  <w:num w:numId="9">
    <w:abstractNumId w:val="4"/>
  </w:num>
  <w:num w:numId="10">
    <w:abstractNumId w:val="14"/>
  </w:num>
  <w:num w:numId="11">
    <w:abstractNumId w:val="1"/>
  </w:num>
  <w:num w:numId="12">
    <w:abstractNumId w:val="31"/>
  </w:num>
  <w:num w:numId="13">
    <w:abstractNumId w:val="16"/>
  </w:num>
  <w:num w:numId="14">
    <w:abstractNumId w:val="6"/>
  </w:num>
  <w:num w:numId="15">
    <w:abstractNumId w:val="12"/>
  </w:num>
  <w:num w:numId="16">
    <w:abstractNumId w:val="5"/>
  </w:num>
  <w:num w:numId="17">
    <w:abstractNumId w:val="22"/>
  </w:num>
  <w:num w:numId="18">
    <w:abstractNumId w:val="25"/>
  </w:num>
  <w:num w:numId="19">
    <w:abstractNumId w:val="37"/>
  </w:num>
  <w:num w:numId="20">
    <w:abstractNumId w:val="29"/>
  </w:num>
  <w:num w:numId="21">
    <w:abstractNumId w:val="35"/>
  </w:num>
  <w:num w:numId="22">
    <w:abstractNumId w:val="34"/>
  </w:num>
  <w:num w:numId="23">
    <w:abstractNumId w:val="19"/>
  </w:num>
  <w:num w:numId="24">
    <w:abstractNumId w:val="27"/>
  </w:num>
  <w:num w:numId="25">
    <w:abstractNumId w:val="26"/>
  </w:num>
  <w:num w:numId="26">
    <w:abstractNumId w:val="18"/>
  </w:num>
  <w:num w:numId="27">
    <w:abstractNumId w:val="3"/>
  </w:num>
  <w:num w:numId="28">
    <w:abstractNumId w:val="32"/>
  </w:num>
  <w:num w:numId="29">
    <w:abstractNumId w:val="13"/>
  </w:num>
  <w:num w:numId="30">
    <w:abstractNumId w:val="36"/>
  </w:num>
  <w:num w:numId="31">
    <w:abstractNumId w:val="15"/>
  </w:num>
  <w:num w:numId="32">
    <w:abstractNumId w:val="21"/>
  </w:num>
  <w:num w:numId="33">
    <w:abstractNumId w:val="10"/>
  </w:num>
  <w:num w:numId="34">
    <w:abstractNumId w:val="30"/>
  </w:num>
  <w:num w:numId="35">
    <w:abstractNumId w:val="24"/>
  </w:num>
  <w:num w:numId="36">
    <w:abstractNumId w:val="9"/>
  </w:num>
  <w:num w:numId="37">
    <w:abstractNumId w:val="17"/>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C6C"/>
    <w:rsid w:val="00202BB4"/>
    <w:rsid w:val="004B53F8"/>
    <w:rsid w:val="00A6599B"/>
    <w:rsid w:val="00BD1C6C"/>
    <w:rsid w:val="00DC36DE"/>
    <w:rsid w:val="00EB5D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1C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D1C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C6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D1C6C"/>
    <w:rPr>
      <w:rFonts w:ascii="Times New Roman" w:eastAsia="Times New Roman" w:hAnsi="Times New Roman" w:cs="Times New Roman"/>
      <w:b/>
      <w:bCs/>
      <w:sz w:val="36"/>
      <w:szCs w:val="36"/>
      <w:lang w:eastAsia="en-IN"/>
    </w:rPr>
  </w:style>
  <w:style w:type="paragraph" w:customStyle="1" w:styleId="my-0">
    <w:name w:val="my-0"/>
    <w:basedOn w:val="Normal"/>
    <w:rsid w:val="00BD1C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1C6C"/>
    <w:rPr>
      <w:b/>
      <w:bCs/>
    </w:rPr>
  </w:style>
  <w:style w:type="character" w:styleId="Hyperlink">
    <w:name w:val="Hyperlink"/>
    <w:basedOn w:val="DefaultParagraphFont"/>
    <w:uiPriority w:val="99"/>
    <w:semiHidden/>
    <w:unhideWhenUsed/>
    <w:rsid w:val="00BD1C6C"/>
    <w:rPr>
      <w:color w:val="0000FF"/>
      <w:u w:val="single"/>
    </w:rPr>
  </w:style>
  <w:style w:type="character" w:styleId="Emphasis">
    <w:name w:val="Emphasis"/>
    <w:basedOn w:val="DefaultParagraphFont"/>
    <w:uiPriority w:val="20"/>
    <w:qFormat/>
    <w:rsid w:val="00EB5DEC"/>
    <w:rPr>
      <w:i/>
      <w:iCs/>
    </w:rPr>
  </w:style>
  <w:style w:type="character" w:customStyle="1" w:styleId="min-w-1rem">
    <w:name w:val="min-w-[1rem]"/>
    <w:basedOn w:val="DefaultParagraphFont"/>
    <w:rsid w:val="004B53F8"/>
  </w:style>
  <w:style w:type="character" w:customStyle="1" w:styleId="whitespace-nowrap">
    <w:name w:val="whitespace-nowrap"/>
    <w:basedOn w:val="DefaultParagraphFont"/>
    <w:rsid w:val="004B53F8"/>
  </w:style>
  <w:style w:type="character" w:styleId="FollowedHyperlink">
    <w:name w:val="FollowedHyperlink"/>
    <w:basedOn w:val="DefaultParagraphFont"/>
    <w:uiPriority w:val="99"/>
    <w:semiHidden/>
    <w:unhideWhenUsed/>
    <w:rsid w:val="00202BB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1C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D1C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C6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D1C6C"/>
    <w:rPr>
      <w:rFonts w:ascii="Times New Roman" w:eastAsia="Times New Roman" w:hAnsi="Times New Roman" w:cs="Times New Roman"/>
      <w:b/>
      <w:bCs/>
      <w:sz w:val="36"/>
      <w:szCs w:val="36"/>
      <w:lang w:eastAsia="en-IN"/>
    </w:rPr>
  </w:style>
  <w:style w:type="paragraph" w:customStyle="1" w:styleId="my-0">
    <w:name w:val="my-0"/>
    <w:basedOn w:val="Normal"/>
    <w:rsid w:val="00BD1C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1C6C"/>
    <w:rPr>
      <w:b/>
      <w:bCs/>
    </w:rPr>
  </w:style>
  <w:style w:type="character" w:styleId="Hyperlink">
    <w:name w:val="Hyperlink"/>
    <w:basedOn w:val="DefaultParagraphFont"/>
    <w:uiPriority w:val="99"/>
    <w:semiHidden/>
    <w:unhideWhenUsed/>
    <w:rsid w:val="00BD1C6C"/>
    <w:rPr>
      <w:color w:val="0000FF"/>
      <w:u w:val="single"/>
    </w:rPr>
  </w:style>
  <w:style w:type="character" w:styleId="Emphasis">
    <w:name w:val="Emphasis"/>
    <w:basedOn w:val="DefaultParagraphFont"/>
    <w:uiPriority w:val="20"/>
    <w:qFormat/>
    <w:rsid w:val="00EB5DEC"/>
    <w:rPr>
      <w:i/>
      <w:iCs/>
    </w:rPr>
  </w:style>
  <w:style w:type="character" w:customStyle="1" w:styleId="min-w-1rem">
    <w:name w:val="min-w-[1rem]"/>
    <w:basedOn w:val="DefaultParagraphFont"/>
    <w:rsid w:val="004B53F8"/>
  </w:style>
  <w:style w:type="character" w:customStyle="1" w:styleId="whitespace-nowrap">
    <w:name w:val="whitespace-nowrap"/>
    <w:basedOn w:val="DefaultParagraphFont"/>
    <w:rsid w:val="004B53F8"/>
  </w:style>
  <w:style w:type="character" w:styleId="FollowedHyperlink">
    <w:name w:val="FollowedHyperlink"/>
    <w:basedOn w:val="DefaultParagraphFont"/>
    <w:uiPriority w:val="99"/>
    <w:semiHidden/>
    <w:unhideWhenUsed/>
    <w:rsid w:val="00202B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296395">
      <w:bodyDiv w:val="1"/>
      <w:marLeft w:val="0"/>
      <w:marRight w:val="0"/>
      <w:marTop w:val="0"/>
      <w:marBottom w:val="0"/>
      <w:divBdr>
        <w:top w:val="none" w:sz="0" w:space="0" w:color="auto"/>
        <w:left w:val="none" w:sz="0" w:space="0" w:color="auto"/>
        <w:bottom w:val="none" w:sz="0" w:space="0" w:color="auto"/>
        <w:right w:val="none" w:sz="0" w:space="0" w:color="auto"/>
      </w:divBdr>
      <w:divsChild>
        <w:div w:id="1154176468">
          <w:marLeft w:val="0"/>
          <w:marRight w:val="0"/>
          <w:marTop w:val="0"/>
          <w:marBottom w:val="0"/>
          <w:divBdr>
            <w:top w:val="none" w:sz="0" w:space="0" w:color="auto"/>
            <w:left w:val="none" w:sz="0" w:space="0" w:color="auto"/>
            <w:bottom w:val="none" w:sz="0" w:space="0" w:color="auto"/>
            <w:right w:val="none" w:sz="0" w:space="0" w:color="auto"/>
          </w:divBdr>
          <w:divsChild>
            <w:div w:id="1626303447">
              <w:marLeft w:val="0"/>
              <w:marRight w:val="0"/>
              <w:marTop w:val="0"/>
              <w:marBottom w:val="0"/>
              <w:divBdr>
                <w:top w:val="none" w:sz="0" w:space="0" w:color="auto"/>
                <w:left w:val="none" w:sz="0" w:space="0" w:color="auto"/>
                <w:bottom w:val="none" w:sz="0" w:space="0" w:color="auto"/>
                <w:right w:val="none" w:sz="0" w:space="0" w:color="auto"/>
              </w:divBdr>
              <w:divsChild>
                <w:div w:id="46615257">
                  <w:marLeft w:val="0"/>
                  <w:marRight w:val="0"/>
                  <w:marTop w:val="0"/>
                  <w:marBottom w:val="0"/>
                  <w:divBdr>
                    <w:top w:val="none" w:sz="0" w:space="0" w:color="auto"/>
                    <w:left w:val="none" w:sz="0" w:space="0" w:color="auto"/>
                    <w:bottom w:val="none" w:sz="0" w:space="0" w:color="auto"/>
                    <w:right w:val="none" w:sz="0" w:space="0" w:color="auto"/>
                  </w:divBdr>
                  <w:divsChild>
                    <w:div w:id="2269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357561">
      <w:bodyDiv w:val="1"/>
      <w:marLeft w:val="0"/>
      <w:marRight w:val="0"/>
      <w:marTop w:val="0"/>
      <w:marBottom w:val="0"/>
      <w:divBdr>
        <w:top w:val="none" w:sz="0" w:space="0" w:color="auto"/>
        <w:left w:val="none" w:sz="0" w:space="0" w:color="auto"/>
        <w:bottom w:val="none" w:sz="0" w:space="0" w:color="auto"/>
        <w:right w:val="none" w:sz="0" w:space="0" w:color="auto"/>
      </w:divBdr>
      <w:divsChild>
        <w:div w:id="1128204854">
          <w:marLeft w:val="0"/>
          <w:marRight w:val="0"/>
          <w:marTop w:val="0"/>
          <w:marBottom w:val="0"/>
          <w:divBdr>
            <w:top w:val="none" w:sz="0" w:space="0" w:color="auto"/>
            <w:left w:val="none" w:sz="0" w:space="0" w:color="auto"/>
            <w:bottom w:val="none" w:sz="0" w:space="0" w:color="auto"/>
            <w:right w:val="none" w:sz="0" w:space="0" w:color="auto"/>
          </w:divBdr>
          <w:divsChild>
            <w:div w:id="179589875">
              <w:marLeft w:val="0"/>
              <w:marRight w:val="0"/>
              <w:marTop w:val="0"/>
              <w:marBottom w:val="0"/>
              <w:divBdr>
                <w:top w:val="none" w:sz="0" w:space="0" w:color="auto"/>
                <w:left w:val="none" w:sz="0" w:space="0" w:color="auto"/>
                <w:bottom w:val="none" w:sz="0" w:space="0" w:color="auto"/>
                <w:right w:val="none" w:sz="0" w:space="0" w:color="auto"/>
              </w:divBdr>
              <w:divsChild>
                <w:div w:id="791019620">
                  <w:marLeft w:val="0"/>
                  <w:marRight w:val="0"/>
                  <w:marTop w:val="0"/>
                  <w:marBottom w:val="0"/>
                  <w:divBdr>
                    <w:top w:val="none" w:sz="0" w:space="0" w:color="auto"/>
                    <w:left w:val="none" w:sz="0" w:space="0" w:color="auto"/>
                    <w:bottom w:val="none" w:sz="0" w:space="0" w:color="auto"/>
                    <w:right w:val="none" w:sz="0" w:space="0" w:color="auto"/>
                  </w:divBdr>
                  <w:divsChild>
                    <w:div w:id="20691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586343">
      <w:bodyDiv w:val="1"/>
      <w:marLeft w:val="0"/>
      <w:marRight w:val="0"/>
      <w:marTop w:val="0"/>
      <w:marBottom w:val="0"/>
      <w:divBdr>
        <w:top w:val="none" w:sz="0" w:space="0" w:color="auto"/>
        <w:left w:val="none" w:sz="0" w:space="0" w:color="auto"/>
        <w:bottom w:val="none" w:sz="0" w:space="0" w:color="auto"/>
        <w:right w:val="none" w:sz="0" w:space="0" w:color="auto"/>
      </w:divBdr>
      <w:divsChild>
        <w:div w:id="1964457210">
          <w:marLeft w:val="0"/>
          <w:marRight w:val="0"/>
          <w:marTop w:val="0"/>
          <w:marBottom w:val="0"/>
          <w:divBdr>
            <w:top w:val="single" w:sz="2" w:space="0" w:color="E5E7EB"/>
            <w:left w:val="single" w:sz="2" w:space="0" w:color="E5E7EB"/>
            <w:bottom w:val="single" w:sz="2" w:space="0" w:color="E5E7EB"/>
            <w:right w:val="single" w:sz="2" w:space="0" w:color="E5E7EB"/>
          </w:divBdr>
          <w:divsChild>
            <w:div w:id="2079202019">
              <w:marLeft w:val="0"/>
              <w:marRight w:val="0"/>
              <w:marTop w:val="0"/>
              <w:marBottom w:val="0"/>
              <w:divBdr>
                <w:top w:val="none" w:sz="0" w:space="0" w:color="auto"/>
                <w:left w:val="none" w:sz="0" w:space="0" w:color="auto"/>
                <w:bottom w:val="none" w:sz="0" w:space="0" w:color="auto"/>
                <w:right w:val="none" w:sz="0" w:space="0" w:color="auto"/>
              </w:divBdr>
            </w:div>
          </w:divsChild>
        </w:div>
        <w:div w:id="1096749373">
          <w:marLeft w:val="0"/>
          <w:marRight w:val="0"/>
          <w:marTop w:val="0"/>
          <w:marBottom w:val="0"/>
          <w:divBdr>
            <w:top w:val="single" w:sz="2" w:space="0" w:color="E5E7EB"/>
            <w:left w:val="single" w:sz="2" w:space="0" w:color="E5E7EB"/>
            <w:bottom w:val="single" w:sz="2" w:space="0" w:color="E5E7EB"/>
            <w:right w:val="single" w:sz="2" w:space="0" w:color="E5E7EB"/>
          </w:divBdr>
          <w:divsChild>
            <w:div w:id="82844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2079">
      <w:bodyDiv w:val="1"/>
      <w:marLeft w:val="0"/>
      <w:marRight w:val="0"/>
      <w:marTop w:val="0"/>
      <w:marBottom w:val="0"/>
      <w:divBdr>
        <w:top w:val="none" w:sz="0" w:space="0" w:color="auto"/>
        <w:left w:val="none" w:sz="0" w:space="0" w:color="auto"/>
        <w:bottom w:val="none" w:sz="0" w:space="0" w:color="auto"/>
        <w:right w:val="none" w:sz="0" w:space="0" w:color="auto"/>
      </w:divBdr>
      <w:divsChild>
        <w:div w:id="1731003949">
          <w:marLeft w:val="0"/>
          <w:marRight w:val="0"/>
          <w:marTop w:val="0"/>
          <w:marBottom w:val="0"/>
          <w:divBdr>
            <w:top w:val="none" w:sz="0" w:space="0" w:color="auto"/>
            <w:left w:val="none" w:sz="0" w:space="0" w:color="auto"/>
            <w:bottom w:val="none" w:sz="0" w:space="0" w:color="auto"/>
            <w:right w:val="none" w:sz="0" w:space="0" w:color="auto"/>
          </w:divBdr>
          <w:divsChild>
            <w:div w:id="430246949">
              <w:marLeft w:val="0"/>
              <w:marRight w:val="0"/>
              <w:marTop w:val="0"/>
              <w:marBottom w:val="0"/>
              <w:divBdr>
                <w:top w:val="none" w:sz="0" w:space="0" w:color="auto"/>
                <w:left w:val="none" w:sz="0" w:space="0" w:color="auto"/>
                <w:bottom w:val="none" w:sz="0" w:space="0" w:color="auto"/>
                <w:right w:val="none" w:sz="0" w:space="0" w:color="auto"/>
              </w:divBdr>
              <w:divsChild>
                <w:div w:id="1371153254">
                  <w:marLeft w:val="0"/>
                  <w:marRight w:val="0"/>
                  <w:marTop w:val="0"/>
                  <w:marBottom w:val="0"/>
                  <w:divBdr>
                    <w:top w:val="none" w:sz="0" w:space="0" w:color="auto"/>
                    <w:left w:val="none" w:sz="0" w:space="0" w:color="auto"/>
                    <w:bottom w:val="none" w:sz="0" w:space="0" w:color="auto"/>
                    <w:right w:val="none" w:sz="0" w:space="0" w:color="auto"/>
                  </w:divBdr>
                  <w:divsChild>
                    <w:div w:id="21113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004303">
      <w:bodyDiv w:val="1"/>
      <w:marLeft w:val="0"/>
      <w:marRight w:val="0"/>
      <w:marTop w:val="0"/>
      <w:marBottom w:val="0"/>
      <w:divBdr>
        <w:top w:val="none" w:sz="0" w:space="0" w:color="auto"/>
        <w:left w:val="none" w:sz="0" w:space="0" w:color="auto"/>
        <w:bottom w:val="none" w:sz="0" w:space="0" w:color="auto"/>
        <w:right w:val="none" w:sz="0" w:space="0" w:color="auto"/>
      </w:divBdr>
      <w:divsChild>
        <w:div w:id="231697769">
          <w:marLeft w:val="0"/>
          <w:marRight w:val="0"/>
          <w:marTop w:val="0"/>
          <w:marBottom w:val="0"/>
          <w:divBdr>
            <w:top w:val="none" w:sz="0" w:space="0" w:color="auto"/>
            <w:left w:val="none" w:sz="0" w:space="0" w:color="auto"/>
            <w:bottom w:val="none" w:sz="0" w:space="0" w:color="auto"/>
            <w:right w:val="none" w:sz="0" w:space="0" w:color="auto"/>
          </w:divBdr>
          <w:divsChild>
            <w:div w:id="274750614">
              <w:marLeft w:val="0"/>
              <w:marRight w:val="0"/>
              <w:marTop w:val="0"/>
              <w:marBottom w:val="0"/>
              <w:divBdr>
                <w:top w:val="none" w:sz="0" w:space="0" w:color="auto"/>
                <w:left w:val="none" w:sz="0" w:space="0" w:color="auto"/>
                <w:bottom w:val="none" w:sz="0" w:space="0" w:color="auto"/>
                <w:right w:val="none" w:sz="0" w:space="0" w:color="auto"/>
              </w:divBdr>
              <w:divsChild>
                <w:div w:id="1447120677">
                  <w:marLeft w:val="0"/>
                  <w:marRight w:val="0"/>
                  <w:marTop w:val="0"/>
                  <w:marBottom w:val="0"/>
                  <w:divBdr>
                    <w:top w:val="none" w:sz="0" w:space="0" w:color="auto"/>
                    <w:left w:val="none" w:sz="0" w:space="0" w:color="auto"/>
                    <w:bottom w:val="none" w:sz="0" w:space="0" w:color="auto"/>
                    <w:right w:val="none" w:sz="0" w:space="0" w:color="auto"/>
                  </w:divBdr>
                  <w:divsChild>
                    <w:div w:id="1071195284">
                      <w:marLeft w:val="0"/>
                      <w:marRight w:val="0"/>
                      <w:marTop w:val="0"/>
                      <w:marBottom w:val="0"/>
                      <w:divBdr>
                        <w:top w:val="none" w:sz="0" w:space="0" w:color="auto"/>
                        <w:left w:val="none" w:sz="0" w:space="0" w:color="auto"/>
                        <w:bottom w:val="none" w:sz="0" w:space="0" w:color="auto"/>
                        <w:right w:val="none" w:sz="0" w:space="0" w:color="auto"/>
                      </w:divBdr>
                    </w:div>
                  </w:divsChild>
                </w:div>
                <w:div w:id="182210163">
                  <w:marLeft w:val="0"/>
                  <w:marRight w:val="0"/>
                  <w:marTop w:val="0"/>
                  <w:marBottom w:val="0"/>
                  <w:divBdr>
                    <w:top w:val="none" w:sz="0" w:space="0" w:color="auto"/>
                    <w:left w:val="none" w:sz="0" w:space="0" w:color="auto"/>
                    <w:bottom w:val="none" w:sz="0" w:space="0" w:color="auto"/>
                    <w:right w:val="none" w:sz="0" w:space="0" w:color="auto"/>
                  </w:divBdr>
                  <w:divsChild>
                    <w:div w:id="18066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med.ncbi.nlm.nih.gov/39696223/" TargetMode="External"/><Relationship Id="rId18" Type="http://schemas.openxmlformats.org/officeDocument/2006/relationships/hyperlink" Target="https://eymj.org/DOIx.php?id=10.3349%2Fymj.2021.62.5.417" TargetMode="External"/><Relationship Id="rId26" Type="http://schemas.openxmlformats.org/officeDocument/2006/relationships/hyperlink" Target="https://pmc.ncbi.nlm.nih.gov/articles/PMC7120545/" TargetMode="External"/><Relationship Id="rId3" Type="http://schemas.microsoft.com/office/2007/relationships/stylesWithEffects" Target="stylesWithEffects.xml"/><Relationship Id="rId21" Type="http://schemas.openxmlformats.org/officeDocument/2006/relationships/hyperlink" Target="https://pmc.ncbi.nlm.nih.gov/articles/PMC10089866/" TargetMode="External"/><Relationship Id="rId34" Type="http://schemas.openxmlformats.org/officeDocument/2006/relationships/theme" Target="theme/theme1.xml"/><Relationship Id="rId7" Type="http://schemas.openxmlformats.org/officeDocument/2006/relationships/hyperlink" Target="https://www.ncbi.nlm.nih.gov/pmc/articles/PMC8050594/" TargetMode="External"/><Relationship Id="rId12" Type="http://schemas.openxmlformats.org/officeDocument/2006/relationships/hyperlink" Target="https://pmc.ncbi.nlm.nih.gov/articles/PMC4167688/" TargetMode="External"/><Relationship Id="rId17" Type="http://schemas.openxmlformats.org/officeDocument/2006/relationships/hyperlink" Target="https://www.sciencedirect.com/science/article/pii/S0422763813001908" TargetMode="External"/><Relationship Id="rId25" Type="http://schemas.openxmlformats.org/officeDocument/2006/relationships/hyperlink" Target="https://www.nature.com/articles/s41598-024-68653-8"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ature.com/articles/s41551-020-00633-5" TargetMode="External"/><Relationship Id="rId20" Type="http://schemas.openxmlformats.org/officeDocument/2006/relationships/hyperlink" Target="https://www.nature.com/articles/s41598-024-52061-z" TargetMode="External"/><Relationship Id="rId29" Type="http://schemas.openxmlformats.org/officeDocument/2006/relationships/hyperlink" Target="https://www.sciencedirect.com/science/article/pii/S2772662224001036" TargetMode="External"/><Relationship Id="rId1" Type="http://schemas.openxmlformats.org/officeDocument/2006/relationships/numbering" Target="numbering.xml"/><Relationship Id="rId6" Type="http://schemas.openxmlformats.org/officeDocument/2006/relationships/hyperlink" Target="https://www.nature.com/articles/s41746-018-0029-1" TargetMode="External"/><Relationship Id="rId11" Type="http://schemas.openxmlformats.org/officeDocument/2006/relationships/hyperlink" Target="https://pmc.ncbi.nlm.nih.gov/articles/PMC7931901/" TargetMode="External"/><Relationship Id="rId24" Type="http://schemas.openxmlformats.org/officeDocument/2006/relationships/hyperlink" Target="https://pmc.ncbi.nlm.nih.gov/articles/PMC3681336/" TargetMode="External"/><Relationship Id="rId32" Type="http://schemas.openxmlformats.org/officeDocument/2006/relationships/hyperlink" Target="https://atm.amegroups.org/article/view/19973/html" TargetMode="External"/><Relationship Id="rId5" Type="http://schemas.openxmlformats.org/officeDocument/2006/relationships/webSettings" Target="webSettings.xml"/><Relationship Id="rId15" Type="http://schemas.openxmlformats.org/officeDocument/2006/relationships/hyperlink" Target="https://pubs.rsna.org/doi/full/10.1148/ryai.2021210032" TargetMode="External"/><Relationship Id="rId23" Type="http://schemas.openxmlformats.org/officeDocument/2006/relationships/hyperlink" Target="https://www.nature.com/articles/s41598-024-77188-x" TargetMode="External"/><Relationship Id="rId28" Type="http://schemas.openxmlformats.org/officeDocument/2006/relationships/hyperlink" Target="https://www.mdpi.com/2075-1729/12/5/735" TargetMode="External"/><Relationship Id="rId10" Type="http://schemas.openxmlformats.org/officeDocument/2006/relationships/hyperlink" Target="https://pmc.ncbi.nlm.nih.gov/articles/PMC4537732/" TargetMode="External"/><Relationship Id="rId19" Type="http://schemas.openxmlformats.org/officeDocument/2006/relationships/hyperlink" Target="https://clinicaltrials.gov/study/NCT00889772" TargetMode="External"/><Relationship Id="rId31" Type="http://schemas.openxmlformats.org/officeDocument/2006/relationships/hyperlink" Target="https://www.jmir.org/2025/1/e66615" TargetMode="External"/><Relationship Id="rId4" Type="http://schemas.openxmlformats.org/officeDocument/2006/relationships/settings" Target="settings.xml"/><Relationship Id="rId9" Type="http://schemas.openxmlformats.org/officeDocument/2006/relationships/hyperlink" Target="https://www.thelancet.com/journals/landig/article/PIIS2589-7500(20)30149-3/fulltext" TargetMode="External"/><Relationship Id="rId14" Type="http://schemas.openxmlformats.org/officeDocument/2006/relationships/hyperlink" Target="https://pmc.ncbi.nlm.nih.gov/articles/PMC7660476/" TargetMode="External"/><Relationship Id="rId22" Type="http://schemas.openxmlformats.org/officeDocument/2006/relationships/hyperlink" Target="https://pmc.ncbi.nlm.nih.gov/articles/PMC11869895/" TargetMode="External"/><Relationship Id="rId27" Type="http://schemas.openxmlformats.org/officeDocument/2006/relationships/hyperlink" Target="https://pmc.ncbi.nlm.nih.gov/articles/PMC10573548/" TargetMode="External"/><Relationship Id="rId30" Type="http://schemas.openxmlformats.org/officeDocument/2006/relationships/hyperlink" Target="https://pmc.ncbi.nlm.nih.gov/articles/PMC7199590/" TargetMode="External"/><Relationship Id="rId8" Type="http://schemas.openxmlformats.org/officeDocument/2006/relationships/hyperlink" Target="https://www.nature.com/articles/s41591-019-044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1448</TotalTime>
  <Pages>1</Pages>
  <Words>3289</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2025-07-23T17:51:00Z</dcterms:created>
  <dcterms:modified xsi:type="dcterms:W3CDTF">2025-07-26T03:24:00Z</dcterms:modified>
</cp:coreProperties>
</file>