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0" w:after="60"/>
      </w:pPr>
    </w:p>
    <w:p>
      <w:pPr>
        <w:spacing w:before="60" w:after="60"/>
      </w:pPr>
    </w:p>
    <w:p>
      <w:pPr>
        <w:spacing w:before="0" w:after="80"/>
        <w:jc w:val="center"/>
      </w:pPr>
      <w:r>
        <w:rPr>
          <w:rFonts w:ascii="Times New Roman" w:hAnsi="Times New Roman" w:eastAsia="Times New Roman" w:cs="Times New Roman"/>
          <w:b/>
          <w:bCs/>
          <w:sz w:val="32"/>
          <w:szCs w:val="32"/>
        </w:rPr>
        <w:t>Indian Institute of Technology Patna</w:t>
      </w:r>
    </w:p>
    <w:p>
      <w:pPr>
        <w:spacing w:before="60" w:after="200"/>
        <w:jc w:val="center"/>
      </w:pPr>
      <w:r>
        <w:rPr>
          <w:rFonts w:ascii="Times New Roman" w:hAnsi="Times New Roman" w:eastAsia="Times New Roman" w:cs="Times New Roman"/>
          <w:b w:val="0"/>
          <w:bCs w:val="0"/>
          <w:sz w:val="28"/>
          <w:szCs w:val="28"/>
        </w:rPr>
        <w:t>School of Management</w:t>
      </w:r>
    </w:p>
    <w:p>
      <w:pPr>
        <w:pBdr>
          <w:bottom w:val="single" w:color="2E75B6" w:sz="6" w:space="0"/>
        </w:pBdr>
        <w:spacing w:before="200" w:after="200"/>
        <w:jc w:val="center"/>
      </w:pPr>
    </w:p>
    <w:p>
      <w:pPr>
        <w:spacing w:before="200" w:after="200"/>
        <w:jc w:val="center"/>
      </w:pPr>
      <w:r>
        <w:rPr>
          <w:rFonts w:ascii="Times New Roman" w:hAnsi="Times New Roman" w:eastAsia="Times New Roman" w:cs="Times New Roman"/>
          <w:b/>
          <w:bCs/>
          <w:sz w:val="32"/>
          <w:szCs w:val="32"/>
        </w:rPr>
        <w:t>MAJOR PROJECT REPORT</w:t>
      </w:r>
    </w:p>
    <w:p>
      <w:pPr>
        <w:spacing w:before="200" w:after="300"/>
        <w:jc w:val="center"/>
      </w:pPr>
      <w:r>
        <w:rPr>
          <w:rFonts w:ascii="Times New Roman" w:hAnsi="Times New Roman" w:eastAsia="Times New Roman" w:cs="Times New Roman"/>
          <w:b w:val="0"/>
          <w:bCs w:val="0"/>
          <w:i/>
          <w:iCs/>
          <w:sz w:val="28"/>
          <w:szCs w:val="28"/>
        </w:rPr>
        <w:t>“Multi-Agent AI Simulation for Strategic Foresight: Modelling Business Ecosystem Responses to External Shocks in the Indian Manufacturing Sector”</w:t>
      </w:r>
    </w:p>
    <w:p>
      <w:pPr>
        <w:spacing w:before="80" w:after="200"/>
        <w:jc w:val="center"/>
      </w:pPr>
      <w:r>
        <w:rPr>
          <w:rFonts w:ascii="Times New Roman" w:hAnsi="Times New Roman" w:eastAsia="Times New Roman" w:cs="Times New Roman"/>
          <w:sz w:val="24"/>
          <w:szCs w:val="24"/>
        </w:rPr>
        <w:t>Submitted in partial fulfilment of the requirements for the degree of</w:t>
      </w:r>
    </w:p>
    <w:p>
      <w:pPr>
        <w:spacing w:before="40" w:after="300"/>
        <w:jc w:val="center"/>
      </w:pPr>
      <w:r>
        <w:rPr>
          <w:rFonts w:ascii="Times New Roman" w:hAnsi="Times New Roman" w:eastAsia="Times New Roman" w:cs="Times New Roman"/>
          <w:b/>
          <w:bCs/>
          <w:sz w:val="24"/>
          <w:szCs w:val="24"/>
        </w:rPr>
        <w:t>Master of Business Administration (MBA)</w:t>
      </w:r>
    </w:p>
    <w:p>
      <w:pPr>
        <w:spacing w:before="80" w:after="60"/>
        <w:jc w:val="center"/>
      </w:pPr>
      <w:r>
        <w:rPr>
          <w:rFonts w:ascii="Times New Roman" w:hAnsi="Times New Roman" w:eastAsia="Times New Roman" w:cs="Times New Roman"/>
          <w:b/>
          <w:bCs/>
          <w:sz w:val="24"/>
          <w:szCs w:val="24"/>
        </w:rPr>
        <w:t>Submitted by:</w:t>
      </w:r>
    </w:p>
    <w:p>
      <w:pPr>
        <w:spacing w:before="40" w:after="40"/>
        <w:jc w:val="center"/>
      </w:pPr>
      <w:r>
        <w:rPr>
          <w:rFonts w:ascii="Times New Roman" w:hAnsi="Times New Roman" w:eastAsia="Times New Roman" w:cs="Times New Roman"/>
          <w:b/>
          <w:bCs/>
          <w:sz w:val="28"/>
          <w:szCs w:val="28"/>
        </w:rPr>
        <w:t>Ankita Priya</w:t>
      </w:r>
    </w:p>
    <w:p>
      <w:pPr>
        <w:spacing w:before="40" w:after="40"/>
        <w:jc w:val="center"/>
      </w:pPr>
      <w:r>
        <w:rPr>
          <w:rFonts w:ascii="Times New Roman" w:hAnsi="Times New Roman" w:eastAsia="Times New Roman" w:cs="Times New Roman"/>
          <w:b w:val="0"/>
          <w:bCs w:val="0"/>
          <w:sz w:val="24"/>
          <w:szCs w:val="24"/>
        </w:rPr>
        <w:t>Enrolment No.: 24A01RES30</w:t>
      </w:r>
    </w:p>
    <w:p>
      <w:pPr>
        <w:spacing w:before="40" w:after="200"/>
        <w:jc w:val="center"/>
      </w:pPr>
      <w:r>
        <w:rPr>
          <w:rFonts w:ascii="Times New Roman" w:hAnsi="Times New Roman" w:eastAsia="Times New Roman" w:cs="Times New Roman"/>
          <w:b w:val="0"/>
          <w:bCs w:val="0"/>
          <w:sz w:val="24"/>
          <w:szCs w:val="24"/>
        </w:rPr>
        <w:t>MBA – Finance (Semester IV)</w:t>
      </w:r>
    </w:p>
    <w:p>
      <w:pPr>
        <w:spacing w:before="80" w:after="60"/>
        <w:jc w:val="center"/>
      </w:pPr>
      <w:r>
        <w:rPr>
          <w:rFonts w:ascii="Times New Roman" w:hAnsi="Times New Roman" w:eastAsia="Times New Roman" w:cs="Times New Roman"/>
          <w:b/>
          <w:bCs/>
          <w:sz w:val="24"/>
          <w:szCs w:val="24"/>
        </w:rPr>
        <w:t>Under the Guidance of:</w:t>
      </w:r>
    </w:p>
    <w:p>
      <w:pPr>
        <w:spacing w:before="40" w:after="40"/>
        <w:jc w:val="center"/>
      </w:pPr>
      <w:r>
        <w:rPr>
          <w:rFonts w:ascii="Times New Roman" w:hAnsi="Times New Roman" w:eastAsia="Times New Roman" w:cs="Times New Roman"/>
          <w:b/>
          <w:bCs/>
          <w:sz w:val="28"/>
          <w:szCs w:val="28"/>
        </w:rPr>
        <w:t>Prof. Nalin Bharti</w:t>
      </w:r>
    </w:p>
    <w:p>
      <w:pPr>
        <w:spacing w:before="40" w:after="40"/>
        <w:jc w:val="center"/>
      </w:pPr>
      <w:r>
        <w:rPr>
          <w:rFonts w:ascii="Times New Roman" w:hAnsi="Times New Roman" w:eastAsia="Times New Roman" w:cs="Times New Roman"/>
          <w:b w:val="0"/>
          <w:bCs w:val="0"/>
          <w:sz w:val="24"/>
          <w:szCs w:val="24"/>
        </w:rPr>
        <w:t>School of Management</w:t>
      </w:r>
    </w:p>
    <w:p>
      <w:pPr>
        <w:spacing w:before="40" w:after="200"/>
        <w:jc w:val="center"/>
      </w:pPr>
      <w:r>
        <w:rPr>
          <w:rFonts w:ascii="Times New Roman" w:hAnsi="Times New Roman" w:eastAsia="Times New Roman" w:cs="Times New Roman"/>
          <w:b w:val="0"/>
          <w:bCs w:val="0"/>
          <w:sz w:val="24"/>
          <w:szCs w:val="24"/>
        </w:rPr>
        <w:t>Indian Institute of Technology Patna</w:t>
      </w:r>
    </w:p>
    <w:p>
      <w:pPr>
        <w:spacing w:before="80" w:after="80"/>
        <w:jc w:val="center"/>
      </w:pPr>
      <w:r>
        <w:rPr>
          <w:rFonts w:ascii="Times New Roman" w:hAnsi="Times New Roman" w:eastAsia="Times New Roman" w:cs="Times New Roman"/>
          <w:b w:val="0"/>
          <w:bCs w:val="0"/>
          <w:sz w:val="24"/>
          <w:szCs w:val="24"/>
        </w:rPr>
        <w:t>Academic Year 2025–2026</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CERTIFICATE</w:t>
      </w:r>
    </w:p>
    <w:p>
      <w:pPr>
        <w:spacing w:before="80" w:after="80" w:line="360" w:lineRule="auto"/>
        <w:jc w:val="both"/>
      </w:pPr>
      <w:r>
        <w:rPr>
          <w:rFonts w:ascii="Times New Roman" w:hAnsi="Times New Roman" w:eastAsia="Times New Roman" w:cs="Times New Roman"/>
          <w:sz w:val="24"/>
          <w:szCs w:val="24"/>
        </w:rPr>
        <w:t>This is to certify that the Major Project Report titled “Multi-Agent AI Simulation for Strategic Foresight: Modelling Business Ecosystem Responses to External Shocks in the Indian Manufacturing Sector” submitted by Ankita Priya (Enrolment No.: 24A01RES30) in partial fulfilment of the requirements for the degree of Master of Business Administration (MBA) with specialisation in Finance from the Indian Institute of Technology Patna, is a bonafide record of work carried out under my supervision.</w:t>
      </w:r>
    </w:p>
    <w:p>
      <w:pPr>
        <w:spacing w:before="60" w:after="60"/>
      </w:pPr>
    </w:p>
    <w:p>
      <w:pPr>
        <w:spacing w:before="80" w:after="80" w:line="360" w:lineRule="auto"/>
        <w:jc w:val="both"/>
      </w:pPr>
      <w:r>
        <w:rPr>
          <w:rFonts w:ascii="Times New Roman" w:hAnsi="Times New Roman" w:eastAsia="Times New Roman" w:cs="Times New Roman"/>
          <w:sz w:val="24"/>
          <w:szCs w:val="24"/>
        </w:rPr>
        <w:t>The project report embodies results of original research and has not been submitted elsewhere for any other degree or diploma. All sources of information and assistance received during the course of this work have been duly acknowledged.</w:t>
      </w:r>
    </w:p>
    <w:p>
      <w:pPr>
        <w:spacing w:before="60" w:after="60"/>
      </w:pPr>
    </w:p>
    <w:p>
      <w:pPr>
        <w:spacing w:before="60" w:after="60"/>
      </w:pPr>
    </w:p>
    <w:p>
      <w:pPr>
        <w:spacing w:before="60" w:after="60"/>
      </w:pPr>
    </w:p>
    <w:p>
      <w:pPr>
        <w:spacing w:before="60" w:after="60"/>
      </w:pPr>
    </w:p>
    <w:p>
      <w:pPr>
        <w:spacing w:before="80" w:after="80" w:line="360" w:lineRule="auto"/>
        <w:jc w:val="both"/>
      </w:pPr>
      <w:r>
        <w:rPr>
          <w:rFonts w:ascii="Times New Roman" w:hAnsi="Times New Roman" w:eastAsia="Times New Roman" w:cs="Times New Roman"/>
          <w:sz w:val="24"/>
          <w:szCs w:val="24"/>
        </w:rPr>
        <w:t>_________________________________</w:t>
      </w:r>
    </w:p>
    <w:p>
      <w:pPr>
        <w:spacing w:before="80" w:after="80" w:line="360" w:lineRule="auto"/>
        <w:jc w:val="both"/>
      </w:pPr>
      <w:r>
        <w:rPr>
          <w:rFonts w:ascii="Times New Roman" w:hAnsi="Times New Roman" w:eastAsia="Times New Roman" w:cs="Times New Roman"/>
          <w:b/>
          <w:bCs/>
          <w:sz w:val="24"/>
          <w:szCs w:val="24"/>
        </w:rPr>
        <w:t>Prof. Nalin Bharti</w:t>
      </w:r>
    </w:p>
    <w:p>
      <w:pPr>
        <w:spacing w:before="80" w:after="80" w:line="360" w:lineRule="auto"/>
        <w:jc w:val="both"/>
      </w:pPr>
      <w:r>
        <w:rPr>
          <w:rFonts w:ascii="Times New Roman" w:hAnsi="Times New Roman" w:eastAsia="Times New Roman" w:cs="Times New Roman"/>
          <w:sz w:val="24"/>
          <w:szCs w:val="24"/>
        </w:rPr>
        <w:t>School of Management</w:t>
      </w:r>
    </w:p>
    <w:p>
      <w:pPr>
        <w:spacing w:before="80" w:after="80" w:line="360" w:lineRule="auto"/>
        <w:jc w:val="both"/>
      </w:pPr>
      <w:r>
        <w:rPr>
          <w:rFonts w:ascii="Times New Roman" w:hAnsi="Times New Roman" w:eastAsia="Times New Roman" w:cs="Times New Roman"/>
          <w:sz w:val="24"/>
          <w:szCs w:val="24"/>
        </w:rPr>
        <w:t>Indian Institute of Technology Patna</w:t>
      </w:r>
    </w:p>
    <w:p>
      <w:pPr>
        <w:spacing w:before="80" w:after="80" w:line="360" w:lineRule="auto"/>
        <w:jc w:val="both"/>
      </w:pPr>
      <w:r>
        <w:rPr>
          <w:rFonts w:ascii="Times New Roman" w:hAnsi="Times New Roman" w:eastAsia="Times New Roman" w:cs="Times New Roman"/>
          <w:sz w:val="24"/>
          <w:szCs w:val="24"/>
        </w:rPr>
        <w:t>Patna – 801103, Bihar</w:t>
      </w:r>
    </w:p>
    <w:p>
      <w:pPr>
        <w:spacing w:before="60" w:after="60"/>
      </w:pPr>
    </w:p>
    <w:p>
      <w:pPr>
        <w:spacing w:before="60" w:after="60"/>
      </w:pPr>
    </w:p>
    <w:p>
      <w:pPr>
        <w:spacing w:before="80" w:after="80" w:line="360" w:lineRule="auto"/>
        <w:jc w:val="both"/>
      </w:pPr>
      <w:r>
        <w:rPr>
          <w:rFonts w:ascii="Times New Roman" w:hAnsi="Times New Roman" w:eastAsia="Times New Roman" w:cs="Times New Roman"/>
          <w:sz w:val="24"/>
          <w:szCs w:val="24"/>
        </w:rPr>
        <w:t>Date: _______________</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DECLARATION</w:t>
      </w:r>
    </w:p>
    <w:p>
      <w:pPr>
        <w:spacing w:before="80" w:after="80" w:line="360" w:lineRule="auto"/>
        <w:jc w:val="both"/>
      </w:pPr>
      <w:r>
        <w:rPr>
          <w:rFonts w:ascii="Times New Roman" w:hAnsi="Times New Roman" w:eastAsia="Times New Roman" w:cs="Times New Roman"/>
          <w:sz w:val="24"/>
          <w:szCs w:val="24"/>
        </w:rPr>
        <w:t>I, Ankita Priya (Enrolment No.: 24A01RES30), hereby declare that the Major Project Report titled “Multi-Agent AI Simulation for Strategic Foresight: Modelling Business Ecosystem Responses to External Shocks in the Indian Manufacturing Sector” submitted to the School of Management, Indian Institute of Technology Patna, in partial fulfilment of the requirements for the degree of Master of Business Administration (MBA), is my own original work.</w:t>
      </w:r>
    </w:p>
    <w:p>
      <w:pPr>
        <w:spacing w:before="60" w:after="60"/>
      </w:pPr>
    </w:p>
    <w:p>
      <w:pPr>
        <w:spacing w:before="80" w:after="80" w:line="360" w:lineRule="auto"/>
        <w:jc w:val="both"/>
      </w:pPr>
      <w:r>
        <w:rPr>
          <w:rFonts w:ascii="Times New Roman" w:hAnsi="Times New Roman" w:eastAsia="Times New Roman" w:cs="Times New Roman"/>
          <w:sz w:val="24"/>
          <w:szCs w:val="24"/>
        </w:rPr>
        <w:t>I declare that:</w:t>
      </w:r>
    </w:p>
    <w:p>
      <w:pPr>
        <w:pStyle w:val="16"/>
        <w:numPr>
          <w:ilvl w:val="0"/>
          <w:numId w:val="1"/>
        </w:numPr>
        <w:spacing w:before="60" w:after="60" w:line="360" w:lineRule="auto"/>
        <w:jc w:val="both"/>
      </w:pPr>
      <w:r>
        <w:rPr>
          <w:rFonts w:ascii="Times New Roman" w:hAnsi="Times New Roman" w:eastAsia="Times New Roman" w:cs="Times New Roman"/>
          <w:sz w:val="24"/>
          <w:szCs w:val="24"/>
        </w:rPr>
        <w:t>This report has not been submitted previously for any degree or examination at this or any other institution.</w:t>
      </w:r>
    </w:p>
    <w:p>
      <w:pPr>
        <w:pStyle w:val="16"/>
        <w:numPr>
          <w:ilvl w:val="0"/>
          <w:numId w:val="1"/>
        </w:numPr>
        <w:spacing w:before="60" w:after="60" w:line="360" w:lineRule="auto"/>
        <w:jc w:val="both"/>
      </w:pPr>
      <w:r>
        <w:rPr>
          <w:rFonts w:ascii="Times New Roman" w:hAnsi="Times New Roman" w:eastAsia="Times New Roman" w:cs="Times New Roman"/>
          <w:sz w:val="24"/>
          <w:szCs w:val="24"/>
        </w:rPr>
        <w:t>All sources of information used in this project have been duly cited and referenced.</w:t>
      </w:r>
    </w:p>
    <w:p>
      <w:pPr>
        <w:pStyle w:val="16"/>
        <w:numPr>
          <w:ilvl w:val="0"/>
          <w:numId w:val="1"/>
        </w:numPr>
        <w:spacing w:before="60" w:after="60" w:line="360" w:lineRule="auto"/>
        <w:jc w:val="both"/>
      </w:pPr>
      <w:r>
        <w:rPr>
          <w:rFonts w:ascii="Times New Roman" w:hAnsi="Times New Roman" w:eastAsia="Times New Roman" w:cs="Times New Roman"/>
          <w:sz w:val="24"/>
          <w:szCs w:val="24"/>
        </w:rPr>
        <w:t>All data from secondary sources (annual reports, public filings, government databases) has been acknowledged appropriately.</w:t>
      </w:r>
    </w:p>
    <w:p>
      <w:pPr>
        <w:pStyle w:val="16"/>
        <w:numPr>
          <w:ilvl w:val="0"/>
          <w:numId w:val="1"/>
        </w:numPr>
        <w:spacing w:before="60" w:after="60" w:line="360" w:lineRule="auto"/>
        <w:jc w:val="both"/>
      </w:pPr>
      <w:r>
        <w:rPr>
          <w:rFonts w:ascii="Times New Roman" w:hAnsi="Times New Roman" w:eastAsia="Times New Roman" w:cs="Times New Roman"/>
          <w:sz w:val="24"/>
          <w:szCs w:val="24"/>
        </w:rPr>
        <w:t>The simulation system documented herein was designed, built, and tested by the author during the academic year 2025–26.</w:t>
      </w:r>
    </w:p>
    <w:p>
      <w:pPr>
        <w:spacing w:before="60" w:after="60"/>
      </w:pPr>
    </w:p>
    <w:p>
      <w:pPr>
        <w:spacing w:before="80" w:after="80" w:line="360" w:lineRule="auto"/>
        <w:jc w:val="both"/>
      </w:pPr>
      <w:r>
        <w:rPr>
          <w:rFonts w:ascii="Times New Roman" w:hAnsi="Times New Roman" w:eastAsia="Times New Roman" w:cs="Times New Roman"/>
          <w:sz w:val="24"/>
          <w:szCs w:val="24"/>
        </w:rPr>
        <w:t>I understand that any misrepresentation may lead to the cancellation of this project and may attract disciplinary action as per institute rules.</w:t>
      </w:r>
    </w:p>
    <w:p>
      <w:pPr>
        <w:spacing w:before="60" w:after="60"/>
      </w:pPr>
    </w:p>
    <w:p>
      <w:pPr>
        <w:spacing w:before="60" w:after="60"/>
      </w:pPr>
    </w:p>
    <w:p>
      <w:pPr>
        <w:spacing w:before="60" w:after="60"/>
      </w:pPr>
    </w:p>
    <w:p>
      <w:pPr>
        <w:spacing w:before="60" w:after="60"/>
      </w:pPr>
    </w:p>
    <w:p>
      <w:pPr>
        <w:spacing w:before="80" w:after="80" w:line="360" w:lineRule="auto"/>
        <w:jc w:val="both"/>
      </w:pPr>
      <w:r>
        <w:rPr>
          <w:rFonts w:ascii="Times New Roman" w:hAnsi="Times New Roman" w:eastAsia="Times New Roman" w:cs="Times New Roman"/>
          <w:sz w:val="24"/>
          <w:szCs w:val="24"/>
        </w:rPr>
        <w:t>_________________________________</w:t>
      </w:r>
    </w:p>
    <w:p>
      <w:pPr>
        <w:spacing w:before="80" w:after="80" w:line="360" w:lineRule="auto"/>
        <w:jc w:val="both"/>
      </w:pPr>
      <w:r>
        <w:rPr>
          <w:rFonts w:ascii="Times New Roman" w:hAnsi="Times New Roman" w:eastAsia="Times New Roman" w:cs="Times New Roman"/>
          <w:b/>
          <w:bCs/>
          <w:sz w:val="24"/>
          <w:szCs w:val="24"/>
        </w:rPr>
        <w:t>Ankita Priya</w:t>
      </w:r>
    </w:p>
    <w:p>
      <w:pPr>
        <w:spacing w:before="80" w:after="80" w:line="360" w:lineRule="auto"/>
        <w:jc w:val="both"/>
      </w:pPr>
      <w:r>
        <w:rPr>
          <w:rFonts w:ascii="Times New Roman" w:hAnsi="Times New Roman" w:eastAsia="Times New Roman" w:cs="Times New Roman"/>
          <w:sz w:val="24"/>
          <w:szCs w:val="24"/>
        </w:rPr>
        <w:t>Enrolment No.: 24A01RES30</w:t>
      </w:r>
    </w:p>
    <w:p>
      <w:pPr>
        <w:spacing w:before="80" w:after="80" w:line="360" w:lineRule="auto"/>
        <w:jc w:val="both"/>
      </w:pPr>
      <w:r>
        <w:rPr>
          <w:rFonts w:ascii="Times New Roman" w:hAnsi="Times New Roman" w:eastAsia="Times New Roman" w:cs="Times New Roman"/>
          <w:sz w:val="24"/>
          <w:szCs w:val="24"/>
        </w:rPr>
        <w:t>MBA – Finance (Semester IV)</w:t>
      </w:r>
    </w:p>
    <w:p>
      <w:pPr>
        <w:spacing w:before="80" w:after="80" w:line="360" w:lineRule="auto"/>
        <w:jc w:val="both"/>
      </w:pPr>
      <w:r>
        <w:rPr>
          <w:rFonts w:ascii="Times New Roman" w:hAnsi="Times New Roman" w:eastAsia="Times New Roman" w:cs="Times New Roman"/>
          <w:sz w:val="24"/>
          <w:szCs w:val="24"/>
        </w:rPr>
        <w:t>Date: April 2026</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ACKNOWLEDGEMENTS</w:t>
      </w:r>
    </w:p>
    <w:p>
      <w:pPr>
        <w:spacing w:before="80" w:after="80" w:line="360" w:lineRule="auto"/>
        <w:jc w:val="both"/>
      </w:pPr>
      <w:r>
        <w:rPr>
          <w:rFonts w:ascii="Times New Roman" w:hAnsi="Times New Roman" w:eastAsia="Times New Roman" w:cs="Times New Roman"/>
          <w:sz w:val="24"/>
          <w:szCs w:val="24"/>
        </w:rPr>
        <w:t>I am profoundly grateful to my project guide, Prof. Nalin Bharti, School of Management, Indian Institute of Technology Patna, for his invaluable guidance, constant encouragement, and intellectual generosity throughout this project. His insights into the intersection of business strategy and computational modelling were instrumental in shaping the direction and depth of this work.</w:t>
      </w:r>
    </w:p>
    <w:p>
      <w:pPr>
        <w:spacing w:before="60" w:after="60"/>
      </w:pPr>
    </w:p>
    <w:p>
      <w:pPr>
        <w:spacing w:before="80" w:after="80" w:line="360" w:lineRule="auto"/>
        <w:jc w:val="both"/>
      </w:pPr>
      <w:r>
        <w:rPr>
          <w:rFonts w:ascii="Times New Roman" w:hAnsi="Times New Roman" w:eastAsia="Times New Roman" w:cs="Times New Roman"/>
          <w:sz w:val="24"/>
          <w:szCs w:val="24"/>
        </w:rPr>
        <w:t>I extend my sincere gratitude to the faculty of the School of Management, IIT Patna, whose rigorous teaching across Finance, Strategy, and Economics provided the theoretical foundation upon which this project is built.</w:t>
      </w:r>
    </w:p>
    <w:p>
      <w:pPr>
        <w:spacing w:before="60" w:after="60"/>
      </w:pPr>
    </w:p>
    <w:p>
      <w:pPr>
        <w:spacing w:before="80" w:after="80" w:line="360" w:lineRule="auto"/>
        <w:jc w:val="both"/>
      </w:pPr>
      <w:r>
        <w:rPr>
          <w:rFonts w:ascii="Times New Roman" w:hAnsi="Times New Roman" w:eastAsia="Times New Roman" w:cs="Times New Roman"/>
          <w:sz w:val="24"/>
          <w:szCs w:val="24"/>
        </w:rPr>
        <w:t>I am grateful to Tata Steel Limited and the Ministry of Steel, Government of India, for making their annual reports, financial statements, and policy documents publicly available. The real-world data from these sources gave the simulation its analytical credibility.</w:t>
      </w:r>
    </w:p>
    <w:p>
      <w:pPr>
        <w:spacing w:before="60" w:after="60"/>
      </w:pPr>
    </w:p>
    <w:p>
      <w:pPr>
        <w:spacing w:before="80" w:after="80" w:line="360" w:lineRule="auto"/>
        <w:jc w:val="both"/>
      </w:pPr>
      <w:r>
        <w:rPr>
          <w:rFonts w:ascii="Times New Roman" w:hAnsi="Times New Roman" w:eastAsia="Times New Roman" w:cs="Times New Roman"/>
          <w:sz w:val="24"/>
          <w:szCs w:val="24"/>
        </w:rPr>
        <w:t>I acknowledge the open-source community behind the Python ecosystem — particularly the developers of Pydantic, OpenAI SDK, and Jupyter — whose tools were central to implementing this project.</w:t>
      </w:r>
    </w:p>
    <w:p>
      <w:pPr>
        <w:spacing w:before="60" w:after="60"/>
      </w:pPr>
    </w:p>
    <w:p>
      <w:pPr>
        <w:spacing w:before="80" w:after="80" w:line="360" w:lineRule="auto"/>
        <w:jc w:val="both"/>
      </w:pPr>
      <w:r>
        <w:rPr>
          <w:rFonts w:ascii="Times New Roman" w:hAnsi="Times New Roman" w:eastAsia="Times New Roman" w:cs="Times New Roman"/>
          <w:sz w:val="24"/>
          <w:szCs w:val="24"/>
        </w:rPr>
        <w:t>Finally, I thank my peers and family for their continued encouragement during the demanding final semester of the MBA programme.</w:t>
      </w:r>
    </w:p>
    <w:p>
      <w:pPr>
        <w:spacing w:before="60" w:after="60"/>
      </w:pPr>
    </w:p>
    <w:p>
      <w:pPr>
        <w:spacing w:before="60" w:after="60"/>
      </w:pPr>
    </w:p>
    <w:p>
      <w:pPr>
        <w:spacing w:before="60" w:after="60"/>
      </w:pPr>
    </w:p>
    <w:p>
      <w:pPr>
        <w:spacing w:before="60" w:after="60"/>
      </w:pPr>
    </w:p>
    <w:p>
      <w:pPr>
        <w:spacing w:before="80" w:after="80" w:line="360" w:lineRule="auto"/>
        <w:jc w:val="both"/>
      </w:pPr>
      <w:r>
        <w:rPr>
          <w:rFonts w:ascii="Times New Roman" w:hAnsi="Times New Roman" w:eastAsia="Times New Roman" w:cs="Times New Roman"/>
          <w:sz w:val="24"/>
          <w:szCs w:val="24"/>
        </w:rPr>
        <w:t>Ankita Priya</w:t>
      </w:r>
    </w:p>
    <w:p>
      <w:pPr>
        <w:spacing w:before="80" w:after="80" w:line="360" w:lineRule="auto"/>
        <w:jc w:val="both"/>
      </w:pPr>
      <w:r>
        <w:rPr>
          <w:rFonts w:ascii="Times New Roman" w:hAnsi="Times New Roman" w:eastAsia="Times New Roman" w:cs="Times New Roman"/>
          <w:sz w:val="24"/>
          <w:szCs w:val="24"/>
        </w:rPr>
        <w:t>IIT Patna, April 2026</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ABSTRACT</w:t>
      </w:r>
    </w:p>
    <w:p>
      <w:pPr>
        <w:spacing w:before="80" w:after="80" w:line="360" w:lineRule="auto"/>
        <w:jc w:val="both"/>
      </w:pPr>
      <w:r>
        <w:rPr>
          <w:rFonts w:ascii="Times New Roman" w:hAnsi="Times New Roman" w:eastAsia="Times New Roman" w:cs="Times New Roman"/>
          <w:sz w:val="24"/>
          <w:szCs w:val="24"/>
        </w:rPr>
        <w:t>Traditional strategic planning tools — SWOT analysis, Porter’s Five Forces, and scenario planning — model businesses as isolated entities responding to external shocks in a static, single-actor framework. In reality, modern economies are complex ecosystems in which companies, governments, consumers, suppliers, regulators, and investors are interdependent. When an external shock such as a trade tariff strikes one actor, the reverberations cascade through the entire system through multi-actor feedback loops that conventional tools are structurally incapable of capturing.</w:t>
      </w:r>
    </w:p>
    <w:p>
      <w:pPr>
        <w:spacing w:before="60" w:after="60"/>
      </w:pPr>
    </w:p>
    <w:p>
      <w:pPr>
        <w:spacing w:before="80" w:after="80" w:line="360" w:lineRule="auto"/>
        <w:jc w:val="both"/>
      </w:pPr>
      <w:r>
        <w:rPr>
          <w:rFonts w:ascii="Times New Roman" w:hAnsi="Times New Roman" w:eastAsia="Times New Roman" w:cs="Times New Roman"/>
          <w:sz w:val="24"/>
          <w:szCs w:val="24"/>
        </w:rPr>
        <w:t>This project addresses this gap by designing and implementing a Multi-Agent AI Simulation framework for strategic foresight, applied to the Indian manufacturing sector. Large Language Model (LLM)-powered AI agents, each representing a distinct ecosystem actor with real-world objectives, financial constraints, and decision rules, are deployed in a simulated environment where they respond to injected external shocks over multiple interaction rounds. Agent profiles are grounded in real financial data from publicly listed Indian companies — principally Tata Steel Limited — sourced from annual reports and exchange filings.</w:t>
      </w:r>
    </w:p>
    <w:p>
      <w:pPr>
        <w:spacing w:before="60" w:after="60"/>
      </w:pPr>
    </w:p>
    <w:p>
      <w:pPr>
        <w:spacing w:before="80" w:after="80" w:line="360" w:lineRule="auto"/>
        <w:jc w:val="both"/>
      </w:pPr>
      <w:r>
        <w:rPr>
          <w:rFonts w:ascii="Times New Roman" w:hAnsi="Times New Roman" w:eastAsia="Times New Roman" w:cs="Times New Roman"/>
          <w:sz w:val="24"/>
          <w:szCs w:val="24"/>
        </w:rPr>
        <w:t>The primary shock modelled is the imposition of a 50% US tariff on Indian steel imports under Section 232, representing a $1.8 billion annual trade disruption. The six-agent ecosystem simulation — comprising Tata Steel, the Government of India, Industrial Steel Consumers, Iron Ore Suppliers, the Directorate General of Trade Remedies (DGTR), and Foreign Institutional Investors — was run for three rounds. The simulation revealed emergent strategic dynamics including market diversion to ASEAN and EU markets, WTO dispute initiation, provisional safeguard duties, consumer stockpiling, and coordinated FII divestment — all consistent with observed real-world responses to similar historical trade shocks.</w:t>
      </w:r>
    </w:p>
    <w:p>
      <w:pPr>
        <w:spacing w:before="60" w:after="60"/>
      </w:pPr>
    </w:p>
    <w:p>
      <w:pPr>
        <w:spacing w:before="80" w:after="80" w:line="360" w:lineRule="auto"/>
        <w:jc w:val="both"/>
      </w:pPr>
      <w:r>
        <w:rPr>
          <w:rFonts w:ascii="Times New Roman" w:hAnsi="Times New Roman" w:eastAsia="Times New Roman" w:cs="Times New Roman"/>
          <w:sz w:val="24"/>
          <w:szCs w:val="24"/>
        </w:rPr>
        <w:t>Key findings include: government response timing is the pivotal determinant of company strategy adaptation; information asymmetry between regulators and firms creates exploitable strategic gaps; and multi-actor feedback loops amplify the effective impact of trade shocks beyond their direct economic magnitude. The project demonstrates that LLM-powered multi-agent simulation is a viable and powerful tool for pre-emptive strategic foresight in business ecosystems.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i/>
          <w:iCs/>
          <w:sz w:val="24"/>
          <w:szCs w:val="24"/>
        </w:rPr>
        <w:t>Multi-Agent Simulation, Large Language Models, Strategic Foresight, Trade Policy, Agent-Based Modelling, Indian Steel Industry, Business Ecosystems</w:t>
      </w:r>
    </w:p>
    <w:p>
      <w:r>
        <w:br w:type="page"/>
      </w:r>
    </w:p>
    <w:sdt>
      <w:sdtPr>
        <w:alias w:val="Table of Contents"/>
        <w:id w:val="3"/>
      </w:sdtPr>
      <w:sdtContent>
        <w:p>
          <w:r>
            <w:fldChar w:fldCharType="begin"/>
          </w:r>
          <w:r>
            <w:instrText xml:space="preserve">TOC \h \o "1-3"</w:instrText>
          </w:r>
          <w:r>
            <w:fldChar w:fldCharType="separate"/>
          </w:r>
        </w:p>
        <w:p>
          <w:r>
            <w:fldChar w:fldCharType="end"/>
          </w:r>
        </w:p>
      </w:sdtContent>
    </w:sdt>
    <w:p>
      <w:r>
        <w:br w:type="page"/>
      </w:r>
    </w:p>
    <w:p>
      <w:pPr>
        <w:pStyle w:val="2"/>
        <w:pageBreakBefore/>
        <w:spacing w:before="480" w:after="240"/>
        <w:jc w:val="center"/>
        <w:outlineLvl w:val="0"/>
      </w:pPr>
      <w:r>
        <w:rPr>
          <w:rFonts w:ascii="Times New Roman" w:hAnsi="Times New Roman" w:eastAsia="Times New Roman" w:cs="Times New Roman"/>
          <w:b/>
          <w:bCs/>
          <w:sz w:val="32"/>
          <w:szCs w:val="32"/>
        </w:rPr>
        <w:t>LIST OF TABLES</w:t>
      </w:r>
    </w:p>
    <w:p>
      <w:pPr>
        <w:spacing w:before="60" w:after="60"/>
        <w:jc w:val="both"/>
      </w:pPr>
      <w:r>
        <w:rPr>
          <w:rFonts w:ascii="Times New Roman" w:hAnsi="Times New Roman" w:eastAsia="Times New Roman" w:cs="Times New Roman"/>
          <w:b/>
          <w:bCs/>
          <w:sz w:val="24"/>
          <w:szCs w:val="24"/>
        </w:rPr>
        <w:t xml:space="preserve">Table 1.1: </w:t>
      </w:r>
      <w:r>
        <w:rPr>
          <w:rFonts w:ascii="Times New Roman" w:hAnsi="Times New Roman" w:eastAsia="Times New Roman" w:cs="Times New Roman"/>
          <w:sz w:val="24"/>
          <w:szCs w:val="24"/>
        </w:rPr>
        <w:t>Comparison of Strategic Planning Approaches</w:t>
      </w:r>
      <w:r>
        <w:rPr>
          <w:rFonts w:ascii="Times New Roman" w:hAnsi="Times New Roman" w:eastAsia="Times New Roman" w:cs="Times New Roman"/>
          <w:i/>
          <w:iCs/>
          <w:sz w:val="24"/>
          <w:szCs w:val="24"/>
        </w:rPr>
        <w:t xml:space="preserve">  ........  Chapter 1</w:t>
      </w:r>
    </w:p>
    <w:p>
      <w:pPr>
        <w:spacing w:before="60" w:after="60"/>
        <w:jc w:val="both"/>
      </w:pPr>
      <w:r>
        <w:rPr>
          <w:rFonts w:ascii="Times New Roman" w:hAnsi="Times New Roman" w:eastAsia="Times New Roman" w:cs="Times New Roman"/>
          <w:b/>
          <w:bCs/>
          <w:sz w:val="24"/>
          <w:szCs w:val="24"/>
        </w:rPr>
        <w:t xml:space="preserve">Table 1.2: </w:t>
      </w:r>
      <w:r>
        <w:rPr>
          <w:rFonts w:ascii="Times New Roman" w:hAnsi="Times New Roman" w:eastAsia="Times New Roman" w:cs="Times New Roman"/>
          <w:sz w:val="24"/>
          <w:szCs w:val="24"/>
        </w:rPr>
        <w:t>Indian Steel Sector — Key Structural Parameters (FY 2024–25)</w:t>
      </w:r>
      <w:r>
        <w:rPr>
          <w:rFonts w:ascii="Times New Roman" w:hAnsi="Times New Roman" w:eastAsia="Times New Roman" w:cs="Times New Roman"/>
          <w:i/>
          <w:iCs/>
          <w:sz w:val="24"/>
          <w:szCs w:val="24"/>
        </w:rPr>
        <w:t xml:space="preserve">  ........  Chapter 1</w:t>
      </w:r>
    </w:p>
    <w:p>
      <w:pPr>
        <w:spacing w:before="60" w:after="60"/>
        <w:jc w:val="both"/>
      </w:pPr>
      <w:r>
        <w:rPr>
          <w:rFonts w:ascii="Times New Roman" w:hAnsi="Times New Roman" w:eastAsia="Times New Roman" w:cs="Times New Roman"/>
          <w:b/>
          <w:bCs/>
          <w:sz w:val="24"/>
          <w:szCs w:val="24"/>
        </w:rPr>
        <w:t xml:space="preserve">Table 2.1: </w:t>
      </w:r>
      <w:r>
        <w:rPr>
          <w:rFonts w:ascii="Times New Roman" w:hAnsi="Times New Roman" w:eastAsia="Times New Roman" w:cs="Times New Roman"/>
          <w:sz w:val="24"/>
          <w:szCs w:val="24"/>
        </w:rPr>
        <w:t>Porter's Five Forces Analysis — Indian Steel Sector (Pre- and Post-Shock)</w:t>
      </w:r>
      <w:r>
        <w:rPr>
          <w:rFonts w:ascii="Times New Roman" w:hAnsi="Times New Roman" w:eastAsia="Times New Roman" w:cs="Times New Roman"/>
          <w:i/>
          <w:iCs/>
          <w:sz w:val="24"/>
          <w:szCs w:val="24"/>
        </w:rPr>
        <w:t xml:space="preserve">  ........  Chapter 2</w:t>
      </w:r>
    </w:p>
    <w:p>
      <w:pPr>
        <w:spacing w:before="60" w:after="60"/>
        <w:jc w:val="both"/>
      </w:pPr>
      <w:r>
        <w:rPr>
          <w:rFonts w:ascii="Times New Roman" w:hAnsi="Times New Roman" w:eastAsia="Times New Roman" w:cs="Times New Roman"/>
          <w:b/>
          <w:bCs/>
          <w:sz w:val="24"/>
          <w:szCs w:val="24"/>
        </w:rPr>
        <w:t xml:space="preserve">Table 2.2: </w:t>
      </w:r>
      <w:r>
        <w:rPr>
          <w:rFonts w:ascii="Times New Roman" w:hAnsi="Times New Roman" w:eastAsia="Times New Roman" w:cs="Times New Roman"/>
          <w:sz w:val="24"/>
          <w:szCs w:val="24"/>
        </w:rPr>
        <w:t>PESTLE Analysis of the US Section 232 Tariff Shock on Indian Steel</w:t>
      </w:r>
      <w:r>
        <w:rPr>
          <w:rFonts w:ascii="Times New Roman" w:hAnsi="Times New Roman" w:eastAsia="Times New Roman" w:cs="Times New Roman"/>
          <w:i/>
          <w:iCs/>
          <w:sz w:val="24"/>
          <w:szCs w:val="24"/>
        </w:rPr>
        <w:t xml:space="preserve">  ........  Chapter 2</w:t>
      </w:r>
    </w:p>
    <w:p>
      <w:pPr>
        <w:spacing w:before="60" w:after="60"/>
        <w:jc w:val="both"/>
      </w:pPr>
      <w:r>
        <w:rPr>
          <w:rFonts w:ascii="Times New Roman" w:hAnsi="Times New Roman" w:eastAsia="Times New Roman" w:cs="Times New Roman"/>
          <w:b/>
          <w:bCs/>
          <w:sz w:val="24"/>
          <w:szCs w:val="24"/>
        </w:rPr>
        <w:t xml:space="preserve">Table 3.1: </w:t>
      </w:r>
      <w:r>
        <w:rPr>
          <w:rFonts w:ascii="Times New Roman" w:hAnsi="Times New Roman" w:eastAsia="Times New Roman" w:cs="Times New Roman"/>
          <w:sz w:val="24"/>
          <w:szCs w:val="24"/>
        </w:rPr>
        <w:t>Summary of Data Sources</w:t>
      </w:r>
      <w:r>
        <w:rPr>
          <w:rFonts w:ascii="Times New Roman" w:hAnsi="Times New Roman" w:eastAsia="Times New Roman" w:cs="Times New Roman"/>
          <w:i/>
          <w:iCs/>
          <w:sz w:val="24"/>
          <w:szCs w:val="24"/>
        </w:rPr>
        <w:t xml:space="preserve">  ........  Chapter 3</w:t>
      </w:r>
    </w:p>
    <w:p>
      <w:pPr>
        <w:spacing w:before="60" w:after="60"/>
        <w:jc w:val="both"/>
      </w:pPr>
      <w:r>
        <w:rPr>
          <w:rFonts w:ascii="Times New Roman" w:hAnsi="Times New Roman" w:eastAsia="Times New Roman" w:cs="Times New Roman"/>
          <w:b/>
          <w:bCs/>
          <w:sz w:val="24"/>
          <w:szCs w:val="24"/>
        </w:rPr>
        <w:t xml:space="preserve">Table 3.2: </w:t>
      </w:r>
      <w:r>
        <w:rPr>
          <w:rFonts w:ascii="Times New Roman" w:hAnsi="Times New Roman" w:eastAsia="Times New Roman" w:cs="Times New Roman"/>
          <w:sz w:val="24"/>
          <w:szCs w:val="24"/>
        </w:rPr>
        <w:t>Agent Profiles in the Simulation</w:t>
      </w:r>
      <w:r>
        <w:rPr>
          <w:rFonts w:ascii="Times New Roman" w:hAnsi="Times New Roman" w:eastAsia="Times New Roman" w:cs="Times New Roman"/>
          <w:i/>
          <w:iCs/>
          <w:sz w:val="24"/>
          <w:szCs w:val="24"/>
        </w:rPr>
        <w:t xml:space="preserve">  ........  Chapter 3</w:t>
      </w:r>
    </w:p>
    <w:p>
      <w:pPr>
        <w:spacing w:before="60" w:after="60"/>
        <w:jc w:val="both"/>
      </w:pPr>
      <w:r>
        <w:rPr>
          <w:rFonts w:ascii="Times New Roman" w:hAnsi="Times New Roman" w:eastAsia="Times New Roman" w:cs="Times New Roman"/>
          <w:b/>
          <w:bCs/>
          <w:sz w:val="24"/>
          <w:szCs w:val="24"/>
        </w:rPr>
        <w:t xml:space="preserve">Table 3.2b: </w:t>
      </w:r>
      <w:r>
        <w:rPr>
          <w:rFonts w:ascii="Times New Roman" w:hAnsi="Times New Roman" w:eastAsia="Times New Roman" w:cs="Times New Roman"/>
          <w:sz w:val="24"/>
          <w:szCs w:val="24"/>
        </w:rPr>
        <w:t>StateResolver 10-Step Pipeline — Detailed Specification</w:t>
      </w:r>
      <w:r>
        <w:rPr>
          <w:rFonts w:ascii="Times New Roman" w:hAnsi="Times New Roman" w:eastAsia="Times New Roman" w:cs="Times New Roman"/>
          <w:i/>
          <w:iCs/>
          <w:sz w:val="24"/>
          <w:szCs w:val="24"/>
        </w:rPr>
        <w:t xml:space="preserve">  ........  Chapter 3</w:t>
      </w:r>
    </w:p>
    <w:p>
      <w:pPr>
        <w:spacing w:before="60" w:after="60"/>
        <w:jc w:val="both"/>
      </w:pPr>
      <w:r>
        <w:rPr>
          <w:rFonts w:ascii="Times New Roman" w:hAnsi="Times New Roman" w:eastAsia="Times New Roman" w:cs="Times New Roman"/>
          <w:b/>
          <w:bCs/>
          <w:sz w:val="24"/>
          <w:szCs w:val="24"/>
        </w:rPr>
        <w:t xml:space="preserve">Table 3.3: </w:t>
      </w:r>
      <w:r>
        <w:rPr>
          <w:rFonts w:ascii="Times New Roman" w:hAnsi="Times New Roman" w:eastAsia="Times New Roman" w:cs="Times New Roman"/>
          <w:sz w:val="24"/>
          <w:szCs w:val="24"/>
        </w:rPr>
        <w:t>Theoretical Frameworks and Their Role in the Simulation</w:t>
      </w:r>
      <w:r>
        <w:rPr>
          <w:rFonts w:ascii="Times New Roman" w:hAnsi="Times New Roman" w:eastAsia="Times New Roman" w:cs="Times New Roman"/>
          <w:i/>
          <w:iCs/>
          <w:sz w:val="24"/>
          <w:szCs w:val="24"/>
        </w:rPr>
        <w:t xml:space="preserve">  ........  Chapter 3</w:t>
      </w:r>
    </w:p>
    <w:p>
      <w:pPr>
        <w:spacing w:before="60" w:after="60"/>
        <w:jc w:val="both"/>
      </w:pPr>
      <w:r>
        <w:rPr>
          <w:rFonts w:ascii="Times New Roman" w:hAnsi="Times New Roman" w:eastAsia="Times New Roman" w:cs="Times New Roman"/>
          <w:b/>
          <w:bCs/>
          <w:sz w:val="24"/>
          <w:szCs w:val="24"/>
        </w:rPr>
        <w:t xml:space="preserve">Table 4.1: </w:t>
      </w:r>
      <w:r>
        <w:rPr>
          <w:rFonts w:ascii="Times New Roman" w:hAnsi="Times New Roman" w:eastAsia="Times New Roman" w:cs="Times New Roman"/>
          <w:sz w:val="24"/>
          <w:szCs w:val="24"/>
        </w:rPr>
        <w:t>Tata Steel Agent Profile — Key Data</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4.2: </w:t>
      </w:r>
      <w:r>
        <w:rPr>
          <w:rFonts w:ascii="Times New Roman" w:hAnsi="Times New Roman" w:eastAsia="Times New Roman" w:cs="Times New Roman"/>
          <w:sz w:val="24"/>
          <w:szCs w:val="24"/>
        </w:rPr>
        <w:t>Government of India Agent Profile — Key Data</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4.3: </w:t>
      </w:r>
      <w:r>
        <w:rPr>
          <w:rFonts w:ascii="Times New Roman" w:hAnsi="Times New Roman" w:eastAsia="Times New Roman" w:cs="Times New Roman"/>
          <w:sz w:val="24"/>
          <w:szCs w:val="24"/>
        </w:rPr>
        <w:t>Summary of Remaining Agent Profiles</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4.4: </w:t>
      </w:r>
      <w:r>
        <w:rPr>
          <w:rFonts w:ascii="Times New Roman" w:hAnsi="Times New Roman" w:eastAsia="Times New Roman" w:cs="Times New Roman"/>
          <w:sz w:val="24"/>
          <w:szCs w:val="24"/>
        </w:rPr>
        <w:t>Comparative Agent Resource and Constraint Profile</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4.5: </w:t>
      </w:r>
      <w:r>
        <w:rPr>
          <w:rFonts w:ascii="Times New Roman" w:hAnsi="Times New Roman" w:eastAsia="Times New Roman" w:cs="Times New Roman"/>
          <w:sz w:val="24"/>
          <w:szCs w:val="24"/>
        </w:rPr>
        <w:t>Dynamic PESTLE Analysis — Impact Evolution Across Simulation Rounds</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4.6: </w:t>
      </w:r>
      <w:r>
        <w:rPr>
          <w:rFonts w:ascii="Times New Roman" w:hAnsi="Times New Roman" w:eastAsia="Times New Roman" w:cs="Times New Roman"/>
          <w:sz w:val="24"/>
          <w:szCs w:val="24"/>
        </w:rPr>
        <w:t>Shock Scenario Parameters</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4.7: </w:t>
      </w:r>
      <w:r>
        <w:rPr>
          <w:rFonts w:ascii="Times New Roman" w:hAnsi="Times New Roman" w:eastAsia="Times New Roman" w:cs="Times New Roman"/>
          <w:sz w:val="24"/>
          <w:szCs w:val="24"/>
        </w:rPr>
        <w:t>Round 1 — Agent Decisions and Public Signals</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4.8: </w:t>
      </w:r>
      <w:r>
        <w:rPr>
          <w:rFonts w:ascii="Times New Roman" w:hAnsi="Times New Roman" w:eastAsia="Times New Roman" w:cs="Times New Roman"/>
          <w:sz w:val="24"/>
          <w:szCs w:val="24"/>
        </w:rPr>
        <w:t>Cross-Round Strategy Evolution Matrix</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4.9: </w:t>
      </w:r>
      <w:r>
        <w:rPr>
          <w:rFonts w:ascii="Times New Roman" w:hAnsi="Times New Roman" w:eastAsia="Times New Roman" w:cs="Times New Roman"/>
          <w:sz w:val="24"/>
          <w:szCs w:val="24"/>
        </w:rPr>
        <w:t>Round 2 — Agent Decisions and Public Signals</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4.10: </w:t>
      </w:r>
      <w:r>
        <w:rPr>
          <w:rFonts w:ascii="Times New Roman" w:hAnsi="Times New Roman" w:eastAsia="Times New Roman" w:cs="Times New Roman"/>
          <w:sz w:val="24"/>
          <w:szCs w:val="24"/>
        </w:rPr>
        <w:t>Round 3 — Agent Decisions and Public Signals</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4.11: </w:t>
      </w:r>
      <w:r>
        <w:rPr>
          <w:rFonts w:ascii="Times New Roman" w:hAnsi="Times New Roman" w:eastAsia="Times New Roman" w:cs="Times New Roman"/>
          <w:sz w:val="24"/>
          <w:szCs w:val="24"/>
        </w:rPr>
        <w:t>Agent Confidence Across Simulation Rounds</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4.12: </w:t>
      </w:r>
      <w:r>
        <w:rPr>
          <w:rFonts w:ascii="Times New Roman" w:hAnsi="Times New Roman" w:eastAsia="Times New Roman" w:cs="Times New Roman"/>
          <w:sz w:val="24"/>
          <w:szCs w:val="24"/>
        </w:rPr>
        <w:t>Final Round Fear-Greed Index by Agent</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4.13: </w:t>
      </w:r>
      <w:r>
        <w:rPr>
          <w:rFonts w:ascii="Times New Roman" w:hAnsi="Times New Roman" w:eastAsia="Times New Roman" w:cs="Times New Roman"/>
          <w:sz w:val="24"/>
          <w:szCs w:val="24"/>
        </w:rPr>
        <w:t>Lobbying Dynamics and Regulatory Capture Indicators</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4.14: </w:t>
      </w:r>
      <w:r>
        <w:rPr>
          <w:rFonts w:ascii="Times New Roman" w:hAnsi="Times New Roman" w:eastAsia="Times New Roman" w:cs="Times New Roman"/>
          <w:sz w:val="24"/>
          <w:szCs w:val="24"/>
        </w:rPr>
        <w:t>Trade Routes at Simulation End (Round 3)</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4.15: </w:t>
      </w:r>
      <w:r>
        <w:rPr>
          <w:rFonts w:ascii="Times New Roman" w:hAnsi="Times New Roman" w:eastAsia="Times New Roman" w:cs="Times New Roman"/>
          <w:sz w:val="24"/>
          <w:szCs w:val="24"/>
        </w:rPr>
        <w:t>Public Signals Chronology</w:t>
      </w:r>
      <w:r>
        <w:rPr>
          <w:rFonts w:ascii="Times New Roman" w:hAnsi="Times New Roman" w:eastAsia="Times New Roman" w:cs="Times New Roman"/>
          <w:i/>
          <w:iCs/>
          <w:sz w:val="24"/>
          <w:szCs w:val="24"/>
        </w:rPr>
        <w:t xml:space="preserve">  ........  Chapter 4</w:t>
      </w:r>
    </w:p>
    <w:p>
      <w:pPr>
        <w:spacing w:before="60" w:after="60"/>
        <w:jc w:val="both"/>
      </w:pPr>
      <w:r>
        <w:rPr>
          <w:rFonts w:ascii="Times New Roman" w:hAnsi="Times New Roman" w:eastAsia="Times New Roman" w:cs="Times New Roman"/>
          <w:b/>
          <w:bCs/>
          <w:sz w:val="24"/>
          <w:szCs w:val="24"/>
        </w:rPr>
        <w:t xml:space="preserve">Table 5.1: </w:t>
      </w:r>
      <w:r>
        <w:rPr>
          <w:rFonts w:ascii="Times New Roman" w:hAnsi="Times New Roman" w:eastAsia="Times New Roman" w:cs="Times New Roman"/>
          <w:sz w:val="24"/>
          <w:szCs w:val="24"/>
        </w:rPr>
        <w:t>Simulation Outputs vs. Historical Observations</w:t>
      </w:r>
      <w:r>
        <w:rPr>
          <w:rFonts w:ascii="Times New Roman" w:hAnsi="Times New Roman" w:eastAsia="Times New Roman" w:cs="Times New Roman"/>
          <w:i/>
          <w:iCs/>
          <w:sz w:val="24"/>
          <w:szCs w:val="24"/>
        </w:rPr>
        <w:t xml:space="preserve">  ........  Chapter 5</w:t>
      </w:r>
    </w:p>
    <w:p>
      <w:pPr>
        <w:spacing w:before="60" w:after="60"/>
        <w:jc w:val="both"/>
      </w:pPr>
      <w:r>
        <w:rPr>
          <w:rFonts w:ascii="Times New Roman" w:hAnsi="Times New Roman" w:eastAsia="Times New Roman" w:cs="Times New Roman"/>
          <w:b/>
          <w:bCs/>
          <w:sz w:val="24"/>
          <w:szCs w:val="24"/>
        </w:rPr>
        <w:t xml:space="preserve">Table 5.2: </w:t>
      </w:r>
      <w:r>
        <w:rPr>
          <w:rFonts w:ascii="Times New Roman" w:hAnsi="Times New Roman" w:eastAsia="Times New Roman" w:cs="Times New Roman"/>
          <w:sz w:val="24"/>
          <w:szCs w:val="24"/>
        </w:rPr>
        <w:t>Theoretical Framework Validation Against Simulation Outputs</w:t>
      </w:r>
      <w:r>
        <w:rPr>
          <w:rFonts w:ascii="Times New Roman" w:hAnsi="Times New Roman" w:eastAsia="Times New Roman" w:cs="Times New Roman"/>
          <w:i/>
          <w:iCs/>
          <w:sz w:val="24"/>
          <w:szCs w:val="24"/>
        </w:rPr>
        <w:t xml:space="preserve">  ........  Chapter 5</w:t>
      </w:r>
    </w:p>
    <w:p>
      <w:pPr>
        <w:spacing w:before="60" w:after="60"/>
        <w:jc w:val="both"/>
      </w:pPr>
      <w:r>
        <w:rPr>
          <w:rFonts w:ascii="Times New Roman" w:hAnsi="Times New Roman" w:eastAsia="Times New Roman" w:cs="Times New Roman"/>
          <w:b/>
          <w:bCs/>
          <w:sz w:val="24"/>
          <w:szCs w:val="24"/>
        </w:rPr>
        <w:t xml:space="preserve">Table E.1: </w:t>
      </w:r>
      <w:r>
        <w:rPr>
          <w:rFonts w:ascii="Times New Roman" w:hAnsi="Times New Roman" w:eastAsia="Times New Roman" w:cs="Times New Roman"/>
          <w:sz w:val="24"/>
          <w:szCs w:val="24"/>
        </w:rPr>
        <w:t>Agent Final Actions — Round 3</w:t>
      </w:r>
      <w:r>
        <w:rPr>
          <w:rFonts w:ascii="Times New Roman" w:hAnsi="Times New Roman" w:eastAsia="Times New Roman" w:cs="Times New Roman"/>
          <w:i/>
          <w:iCs/>
          <w:sz w:val="24"/>
          <w:szCs w:val="24"/>
        </w:rPr>
        <w:t xml:space="preserve">  ........  Annexure E</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LIST OF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800"/>
        <w:gridCol w:w="6560"/>
      </w:tblGrid>
      <w:tr>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Abbreviation</w:t>
            </w:r>
          </w:p>
        </w:tc>
        <w:tc>
          <w:tcPr>
            <w:tcW w:w="65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Full Form</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ABM</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Agent-Based Modelling</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ACE</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Agent-Computational Economics</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AI</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Artificial Intelligence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ASEAN</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Association of Southeast Asian Nations</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BSE</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Bombay Stock Exchange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Directorate General of Trade Remedies</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EBITDA</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Earnings Before Interest, Taxes, Depreciation and Amortisation</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EU</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European Union</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FII</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Foreign Institutional Investor</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GDP</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Gross Domestic Product</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GoI</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Government of India</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HRC</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Hot-Rolled Coil</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INR</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Indian Rupee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JSON</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JavaScript Object Notation</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LLM</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Large Language Model</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MTPA</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Million Tonnes Per Annum</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NSE</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National Stock Exchange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PLI</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Production-Linked Incentive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RoDTEP</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Remission of Duties and Taxes on Export Products</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SaaS</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Software as a Service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USD</w:t>
            </w:r>
          </w:p>
        </w:tc>
        <w:tc>
          <w:tcPr>
            <w:tcW w:w="65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United States Dollar</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w:t>
            </w:r>
          </w:p>
        </w:tc>
        <w:tc>
          <w:tcPr>
            <w:tcW w:w="65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World Trade Organization</w:t>
            </w:r>
          </w:p>
        </w:tc>
      </w:tr>
    </w:tbl>
    <w:p>
      <w:r>
        <w:br w:type="page"/>
      </w:r>
    </w:p>
    <w:p>
      <w:pPr>
        <w:pStyle w:val="2"/>
        <w:pageBreakBefore/>
        <w:spacing w:before="480" w:after="240"/>
        <w:jc w:val="center"/>
        <w:outlineLvl w:val="0"/>
      </w:pPr>
      <w:r>
        <w:rPr>
          <w:rFonts w:ascii="Times New Roman" w:hAnsi="Times New Roman" w:eastAsia="Times New Roman" w:cs="Times New Roman"/>
          <w:b/>
          <w:bCs/>
          <w:sz w:val="32"/>
          <w:szCs w:val="32"/>
        </w:rPr>
        <w:t>CHAPTER 1
INTRODUCTION</w:t>
      </w:r>
    </w:p>
    <w:p>
      <w:pPr>
        <w:pStyle w:val="3"/>
        <w:spacing w:before="300" w:after="160"/>
        <w:jc w:val="left"/>
        <w:outlineLvl w:val="1"/>
      </w:pPr>
      <w:r>
        <w:rPr>
          <w:rFonts w:ascii="Times New Roman" w:hAnsi="Times New Roman" w:eastAsia="Times New Roman" w:cs="Times New Roman"/>
          <w:b/>
          <w:bCs/>
          <w:sz w:val="28"/>
          <w:szCs w:val="28"/>
        </w:rPr>
        <w:t>1.1 Background: The Evolution of Strategic Decision-Making Tools</w:t>
      </w:r>
    </w:p>
    <w:p>
      <w:pPr>
        <w:spacing w:before="80" w:after="80" w:line="360" w:lineRule="auto"/>
        <w:jc w:val="both"/>
      </w:pPr>
      <w:r>
        <w:rPr>
          <w:rFonts w:ascii="Times New Roman" w:hAnsi="Times New Roman" w:eastAsia="Times New Roman" w:cs="Times New Roman"/>
          <w:sz w:val="24"/>
          <w:szCs w:val="24"/>
        </w:rPr>
        <w:t>Strategic management has long relied on a set of canonical analytical frameworks to help organisations understand their competitive environment and make informed decisions. Tools such as SWOT analysis, Porter’s Five Forces, and PESTLE analysis were developed in the 1970s and 1980s as structured approaches to decomposing the complexity of business environments into manageable dimensions. Scenario planning, popularised by Shell in the 1970s and systematised by academics such as Peter Schwartz and Kees van der Heijden, further extended this toolkit by asking organisations to rehearse multiple possible futures.</w:t>
      </w:r>
    </w:p>
    <w:p>
      <w:pPr>
        <w:spacing w:before="60" w:after="60"/>
      </w:pPr>
    </w:p>
    <w:p>
      <w:pPr>
        <w:spacing w:before="80" w:after="80" w:line="360" w:lineRule="auto"/>
        <w:jc w:val="both"/>
      </w:pPr>
      <w:r>
        <w:rPr>
          <w:rFonts w:ascii="Times New Roman" w:hAnsi="Times New Roman" w:eastAsia="Times New Roman" w:cs="Times New Roman"/>
          <w:sz w:val="24"/>
          <w:szCs w:val="24"/>
        </w:rPr>
        <w:t>These frameworks have proven remarkably durable and continue to anchor strategy courses in business schools worldwide. Their simplicity, conceptual clarity, and ease of application are genuine virtues. However, they share a critical structural limitation: they treat the organisation as the primary unit of analysis and model the environment as a backdrop — a set of forces acting upon the firm from the outside. They are, at their core, single-actor analytical tools.</w:t>
      </w:r>
    </w:p>
    <w:p>
      <w:pPr>
        <w:spacing w:before="60" w:after="60"/>
      </w:pPr>
    </w:p>
    <w:p>
      <w:pPr>
        <w:spacing w:before="80" w:after="80" w:line="360" w:lineRule="auto"/>
        <w:jc w:val="both"/>
      </w:pPr>
      <w:r>
        <w:rPr>
          <w:rFonts w:ascii="Times New Roman" w:hAnsi="Times New Roman" w:eastAsia="Times New Roman" w:cs="Times New Roman"/>
          <w:sz w:val="24"/>
          <w:szCs w:val="24"/>
        </w:rPr>
        <w:t>The global business environment of the twenty-first century is fundamentally different from the one in which these frameworks were designed. Supply chains span dozens of countries. Regulatory action in one jurisdiction ripples instantly through global markets. Geopolitical events trigger cascading financial reactions across equity, currency, and commodity markets simultaneously. These dynamics are not captured by frameworks that ask “what should we do?” in response to an external stimulus — because the stimulus itself is shaped by what every other actor in the ecosystem does in response.</w:t>
      </w:r>
    </w:p>
    <w:p>
      <w:pPr>
        <w:spacing w:before="60" w:after="60"/>
      </w:pPr>
    </w:p>
    <w:p>
      <w:pPr>
        <w:spacing w:before="80" w:after="80" w:line="360" w:lineRule="auto"/>
        <w:jc w:val="both"/>
      </w:pPr>
      <w:r>
        <w:rPr>
          <w:rFonts w:ascii="Times New Roman" w:hAnsi="Times New Roman" w:eastAsia="Times New Roman" w:cs="Times New Roman"/>
          <w:sz w:val="24"/>
          <w:szCs w:val="24"/>
        </w:rPr>
        <w:t>The recent arrival of Large Language Models (LLMs) — AI systems capable of sophisticated natural language reasoning across diverse domains — changes this calculus materially. LLMs can act as flexible reasoning agents capable of adopting complex roles, considering multiple competing objectives, and generating structured strategic decisions when given rich context. This project is motivated by the structural limitation of existing strategy tools, the demonstrated power of Agent-Based Modelling (ABM) for ecosystem dynamics, and the new capability offered by LLMs to act as sophisticated strategic agents.</w:t>
      </w:r>
    </w:p>
    <w:p>
      <w:pPr>
        <w:pStyle w:val="3"/>
        <w:spacing w:before="300" w:after="160"/>
        <w:jc w:val="left"/>
        <w:outlineLvl w:val="1"/>
      </w:pPr>
      <w:r>
        <w:rPr>
          <w:rFonts w:ascii="Times New Roman" w:hAnsi="Times New Roman" w:eastAsia="Times New Roman" w:cs="Times New Roman"/>
          <w:b/>
          <w:bCs/>
          <w:sz w:val="28"/>
          <w:szCs w:val="28"/>
        </w:rPr>
        <w:t>1.2 The Limitation of Static Planning in Dynamic Ecosystems</w:t>
      </w:r>
    </w:p>
    <w:p>
      <w:pPr>
        <w:spacing w:before="80" w:after="80" w:line="360" w:lineRule="auto"/>
        <w:jc w:val="both"/>
      </w:pPr>
      <w:r>
        <w:rPr>
          <w:rFonts w:ascii="Times New Roman" w:hAnsi="Times New Roman" w:eastAsia="Times New Roman" w:cs="Times New Roman"/>
          <w:sz w:val="24"/>
          <w:szCs w:val="24"/>
        </w:rPr>
        <w:t>The landscape of strategic planning tools can be broadly divided into two categories: static analytical frameworks and dynamic simulation methodologies. Static frameworks — SWOT, PESTLE, Porter's Five Forces, Balanced Scorecard — are analytical structures that help organisations understand their current position, identify threats, and formulate strategy in response to an observed or anticipated environmental change. They are the workhorse tools of MBA strategy curricula and corporate planning departments.</w:t>
      </w:r>
    </w:p>
    <w:p>
      <w:pPr>
        <w:spacing w:before="60" w:after="60"/>
      </w:pPr>
    </w:p>
    <w:p>
      <w:pPr>
        <w:spacing w:before="80" w:after="80" w:line="360" w:lineRule="auto"/>
        <w:jc w:val="both"/>
      </w:pPr>
      <w:r>
        <w:rPr>
          <w:rFonts w:ascii="Times New Roman" w:hAnsi="Times New Roman" w:eastAsia="Times New Roman" w:cs="Times New Roman"/>
          <w:sz w:val="24"/>
          <w:szCs w:val="24"/>
        </w:rPr>
        <w:t>Dynamic simulation methodologies — including Monte Carlo simulation, System Dynamics modelling (Forrester 1961), Game-Theoretic models, and Agent-Based Models — are designed to capture the time-evolving, interactive dimensions of complex systems. They are significantly more demanding to implement but produce qualitatively richer outputs that capture path dependency, feedback loops, and emergent phenomena that static tools structurally cannot represent.</w:t>
      </w:r>
    </w:p>
    <w:p>
      <w:pPr>
        <w:spacing w:before="60" w:after="60"/>
      </w:pPr>
    </w:p>
    <w:p>
      <w:pPr>
        <w:spacing w:before="120" w:after="80"/>
        <w:jc w:val="center"/>
      </w:pPr>
      <w:r>
        <w:rPr>
          <w:rFonts w:ascii="Times New Roman" w:hAnsi="Times New Roman" w:eastAsia="Times New Roman" w:cs="Times New Roman"/>
          <w:b/>
          <w:bCs/>
          <w:i/>
          <w:iCs/>
          <w:sz w:val="24"/>
          <w:szCs w:val="24"/>
        </w:rPr>
        <w:t>Table 1.1: Comparison of Strategic Planning Approaches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200"/>
        <w:gridCol w:w="2700"/>
        <w:gridCol w:w="2200"/>
        <w:gridCol w:w="2260"/>
      </w:tblGrid>
      <w:tr>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Dimension</w:t>
            </w:r>
          </w:p>
        </w:tc>
        <w:tc>
          <w:tcPr>
            <w:tcW w:w="27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Static Frameworks (PESTLE, Five Forces, SWOT)</w:t>
            </w:r>
          </w:p>
        </w:tc>
        <w:tc>
          <w:tcPr>
            <w:tcW w:w="2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System Dynamics / Monte Carlo</w:t>
            </w:r>
          </w:p>
        </w:tc>
        <w:tc>
          <w:tcPr>
            <w:tcW w:w="22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Agent-Based LLM Simulation (This Project)</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Unit of Analysis</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Single firm / industry</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Aggregate</w:t>
            </w:r>
            <w:r>
              <w:rPr>
                <w:rFonts w:hint="default" w:cs="Times New Roman"/>
                <w:sz w:val="24"/>
                <w:szCs w:val="24"/>
                <w:lang w:val="en-US"/>
              </w:rPr>
              <w:t xml:space="preserve"> </w:t>
            </w:r>
            <w:r>
              <w:rPr>
                <w:rFonts w:ascii="Times New Roman" w:hAnsi="Times New Roman" w:eastAsia="Times New Roman" w:cs="Times New Roman"/>
                <w:sz w:val="24"/>
                <w:szCs w:val="24"/>
              </w:rPr>
              <w:t>system variables</w:t>
            </w:r>
          </w:p>
        </w:tc>
        <w:tc>
          <w:tcPr>
            <w:tcW w:w="22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Individual actors with distinct objectives</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Actor Interactions</w:t>
            </w:r>
          </w:p>
        </w:tc>
        <w:tc>
          <w:tcPr>
            <w:tcW w:w="2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Not modelled</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Modelled</w:t>
            </w:r>
            <w:r>
              <w:rPr>
                <w:rFonts w:hint="default" w:cs="Times New Roman"/>
                <w:sz w:val="24"/>
                <w:szCs w:val="24"/>
                <w:lang w:val="en-US"/>
              </w:rPr>
              <w:t xml:space="preserve"> </w:t>
            </w:r>
            <w:r>
              <w:rPr>
                <w:rFonts w:ascii="Times New Roman" w:hAnsi="Times New Roman" w:eastAsia="Times New Roman" w:cs="Times New Roman"/>
                <w:sz w:val="24"/>
                <w:szCs w:val="24"/>
              </w:rPr>
              <w:t>as aggregate flows</w:t>
            </w:r>
          </w:p>
        </w:tc>
        <w:tc>
          <w:tcPr>
            <w:tcW w:w="22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Explicitly modelled —</w:t>
            </w:r>
            <w:r>
              <w:rPr>
                <w:rFonts w:hint="default" w:cs="Times New Roman"/>
                <w:sz w:val="24"/>
                <w:szCs w:val="24"/>
                <w:lang w:val="en-US"/>
              </w:rPr>
              <w:t xml:space="preserve"> </w:t>
            </w:r>
            <w:r>
              <w:rPr>
                <w:rFonts w:ascii="Times New Roman" w:hAnsi="Times New Roman" w:eastAsia="Times New Roman" w:cs="Times New Roman"/>
                <w:sz w:val="24"/>
                <w:szCs w:val="24"/>
              </w:rPr>
              <w:t>each</w:t>
            </w:r>
            <w:r>
              <w:rPr>
                <w:rFonts w:hint="default" w:cs="Times New Roman"/>
                <w:sz w:val="24"/>
                <w:szCs w:val="24"/>
                <w:lang w:val="en-US"/>
              </w:rPr>
              <w:t xml:space="preserve"> </w:t>
            </w:r>
            <w:r>
              <w:rPr>
                <w:rFonts w:ascii="Times New Roman" w:hAnsi="Times New Roman" w:eastAsia="Times New Roman" w:cs="Times New Roman"/>
                <w:sz w:val="24"/>
                <w:szCs w:val="24"/>
              </w:rPr>
              <w:t>agent responds to others</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Decision Logic</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Analyst-applied heuristics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Mathematical equations</w:t>
            </w:r>
          </w:p>
        </w:tc>
        <w:tc>
          <w:tcPr>
            <w:tcW w:w="22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LLM reasoning with real-world profiles</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Emergent Behaviour</w:t>
            </w:r>
          </w:p>
        </w:tc>
        <w:tc>
          <w:tcPr>
            <w:tcW w:w="2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Not captured</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Captured at aggregate level</w:t>
            </w:r>
          </w:p>
        </w:tc>
        <w:tc>
          <w:tcPr>
            <w:tcW w:w="22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Captured at individual and system levels</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Information Asymmetry</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Not modelled</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Not modelled</w:t>
            </w:r>
          </w:p>
        </w:tc>
        <w:tc>
          <w:tcPr>
            <w:tcW w:w="22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Enforced through VisibilityFilter module</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Grounding in Real Data</w:t>
            </w:r>
          </w:p>
        </w:tc>
        <w:tc>
          <w:tcPr>
            <w:tcW w:w="2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Analyst-dependent</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Model-parameter-dependent</w:t>
            </w:r>
          </w:p>
        </w:tc>
        <w:tc>
          <w:tcPr>
            <w:tcW w:w="22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Embedded in JSON agent profiles</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Execution Cost</w:t>
            </w:r>
          </w:p>
        </w:tc>
        <w:tc>
          <w:tcPr>
            <w:tcW w:w="2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Staff time only</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Software licences; modeller skill</w:t>
            </w:r>
          </w:p>
        </w:tc>
        <w:tc>
          <w:tcPr>
            <w:tcW w:w="22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USD 2–4 per 3-round, 6-agent run</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Interpretability</w:t>
            </w:r>
          </w:p>
        </w:tc>
        <w:tc>
          <w:tcPr>
            <w:tcW w:w="2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High — intuitive structure</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Medium — requires quantitative literacy</w:t>
            </w:r>
          </w:p>
        </w:tc>
        <w:tc>
          <w:tcPr>
            <w:tcW w:w="22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High — LLM outputs are human-readable rationales</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The comparison reveals that the LLM multi-agent approach uniquely combines system-level dynamic modelling with high interpretability and real-data grounding — properties that previous dynamic simulation approaches lacked. This positions it as a practically accessible and analytically powerful bridge between traditional static tools and rigorous computational modelling.</w:t>
      </w:r>
    </w:p>
    <w:p>
      <w:pPr>
        <w:spacing w:before="60" w:after="60"/>
      </w:pPr>
    </w:p>
    <w:p>
      <w:pPr>
        <w:spacing w:before="80" w:after="80" w:line="360" w:lineRule="auto"/>
        <w:jc w:val="both"/>
      </w:pPr>
      <w:r>
        <w:rPr>
          <w:rFonts w:ascii="Times New Roman" w:hAnsi="Times New Roman" w:eastAsia="Times New Roman" w:cs="Times New Roman"/>
          <w:sz w:val="24"/>
          <w:szCs w:val="24"/>
        </w:rPr>
        <w:t>To understand the gap this project addresses, consider a concrete example. When the United States imposed a 50% tariff on Indian steel imports under Section 232 authority, this single event affected multiple actors simultaneously:</w:t>
      </w:r>
    </w:p>
    <w:p>
      <w:pPr>
        <w:pStyle w:val="16"/>
        <w:numPr>
          <w:ilvl w:val="0"/>
          <w:numId w:val="2"/>
        </w:numPr>
        <w:spacing w:before="60" w:after="60" w:line="360" w:lineRule="auto"/>
        <w:jc w:val="both"/>
      </w:pPr>
      <w:r>
        <w:rPr>
          <w:rFonts w:ascii="Times New Roman" w:hAnsi="Times New Roman" w:eastAsia="Times New Roman" w:cs="Times New Roman"/>
          <w:sz w:val="24"/>
          <w:szCs w:val="24"/>
        </w:rPr>
        <w:t>Tata Steel and other Indian steel producers faced the immediate loss of approximately $1.8 billion in annual export revenue.</w:t>
      </w:r>
    </w:p>
    <w:p>
      <w:pPr>
        <w:pStyle w:val="16"/>
        <w:numPr>
          <w:ilvl w:val="0"/>
          <w:numId w:val="2"/>
        </w:numPr>
        <w:spacing w:before="60" w:after="60" w:line="360" w:lineRule="auto"/>
        <w:jc w:val="both"/>
      </w:pPr>
      <w:r>
        <w:rPr>
          <w:rFonts w:ascii="Times New Roman" w:hAnsi="Times New Roman" w:eastAsia="Times New Roman" w:cs="Times New Roman"/>
          <w:sz w:val="24"/>
          <w:szCs w:val="24"/>
        </w:rPr>
        <w:t>The Government of India was compelled to formulate a rapid policy response — balancing WTO obligations, diplomatic relations with the US, and the protection of domestic industry employment.</w:t>
      </w:r>
    </w:p>
    <w:p>
      <w:pPr>
        <w:pStyle w:val="16"/>
        <w:numPr>
          <w:ilvl w:val="0"/>
          <w:numId w:val="2"/>
        </w:numPr>
        <w:spacing w:before="60" w:after="60" w:line="360" w:lineRule="auto"/>
        <w:jc w:val="both"/>
      </w:pPr>
      <w:r>
        <w:rPr>
          <w:rFonts w:ascii="Times New Roman" w:hAnsi="Times New Roman" w:eastAsia="Times New Roman" w:cs="Times New Roman"/>
          <w:sz w:val="24"/>
          <w:szCs w:val="24"/>
        </w:rPr>
        <w:t>Downstream steel consumers (automotive, construction, manufacturing) faced shifting domestic supply dynamics and potential price effects.</w:t>
      </w:r>
    </w:p>
    <w:p>
      <w:pPr>
        <w:pStyle w:val="16"/>
        <w:numPr>
          <w:ilvl w:val="0"/>
          <w:numId w:val="2"/>
        </w:numPr>
        <w:spacing w:before="60" w:after="60" w:line="360" w:lineRule="auto"/>
        <w:jc w:val="both"/>
      </w:pPr>
      <w:r>
        <w:rPr>
          <w:rFonts w:ascii="Times New Roman" w:hAnsi="Times New Roman" w:eastAsia="Times New Roman" w:cs="Times New Roman"/>
          <w:sz w:val="24"/>
          <w:szCs w:val="24"/>
        </w:rPr>
        <w:t>Iron ore and coking coal suppliers had to reassess their pricing strategies as their major customers faced financial pressure.</w:t>
      </w:r>
    </w:p>
    <w:p>
      <w:pPr>
        <w:pStyle w:val="16"/>
        <w:numPr>
          <w:ilvl w:val="0"/>
          <w:numId w:val="2"/>
        </w:numPr>
        <w:spacing w:before="60" w:after="60" w:line="360" w:lineRule="auto"/>
        <w:jc w:val="both"/>
      </w:pPr>
      <w:r>
        <w:rPr>
          <w:rFonts w:ascii="Times New Roman" w:hAnsi="Times New Roman" w:eastAsia="Times New Roman" w:cs="Times New Roman"/>
          <w:sz w:val="24"/>
          <w:szCs w:val="24"/>
        </w:rPr>
        <w:t>The DGTR faced pressure to investigate surging steel imports as diverted Indian volumes sought alternative markets.</w:t>
      </w:r>
    </w:p>
    <w:p>
      <w:pPr>
        <w:pStyle w:val="16"/>
        <w:numPr>
          <w:ilvl w:val="0"/>
          <w:numId w:val="2"/>
        </w:numPr>
        <w:spacing w:before="60" w:after="60" w:line="360" w:lineRule="auto"/>
        <w:jc w:val="both"/>
      </w:pPr>
      <w:r>
        <w:rPr>
          <w:rFonts w:ascii="Times New Roman" w:hAnsi="Times New Roman" w:eastAsia="Times New Roman" w:cs="Times New Roman"/>
          <w:sz w:val="24"/>
          <w:szCs w:val="24"/>
        </w:rPr>
        <w:t>Foreign institutional investors reassessed their exposure to Indian steel equities in light of earnings downside risk.</w:t>
      </w:r>
    </w:p>
    <w:p>
      <w:pPr>
        <w:spacing w:before="60" w:after="60"/>
      </w:pPr>
    </w:p>
    <w:p>
      <w:pPr>
        <w:spacing w:before="80" w:after="80" w:line="360" w:lineRule="auto"/>
        <w:jc w:val="both"/>
      </w:pPr>
      <w:r>
        <w:rPr>
          <w:rFonts w:ascii="Times New Roman" w:hAnsi="Times New Roman" w:eastAsia="Times New Roman" w:cs="Times New Roman"/>
          <w:sz w:val="24"/>
          <w:szCs w:val="24"/>
        </w:rPr>
        <w:t>Each of these actors responded — and each response altered the conditions that every other actor faced. The Government’s announcement of WTO dispute proceedings changed Tata Steel’s calculation about the permanence of the tariff. The FII divestment affected Tata Steel’s equity valuations. The DGTR investigation signalled to global steel producers that the Indian market might soon impose protective duties. A traditional scenario planning exercise models Tata Steel’s response in isolation. No conventional tool easily models all six actors simultaneously, captures their interactions, and generates emergent system-level insights. The ecosystem responds as a system — and strategic foresight requires simulating it as a system.</w:t>
      </w:r>
    </w:p>
    <w:p>
      <w:pPr>
        <w:pStyle w:val="3"/>
        <w:spacing w:before="300" w:after="160"/>
        <w:jc w:val="left"/>
        <w:outlineLvl w:val="1"/>
      </w:pPr>
      <w:r>
        <w:rPr>
          <w:rFonts w:ascii="Times New Roman" w:hAnsi="Times New Roman" w:eastAsia="Times New Roman" w:cs="Times New Roman"/>
          <w:b/>
          <w:bCs/>
          <w:sz w:val="28"/>
          <w:szCs w:val="28"/>
        </w:rPr>
        <w:t>1.3 Emergence of Artificial Intelligence in Business Strategy</w:t>
      </w:r>
    </w:p>
    <w:p>
      <w:pPr>
        <w:spacing w:before="80" w:after="80" w:line="360" w:lineRule="auto"/>
        <w:jc w:val="both"/>
      </w:pPr>
      <w:r>
        <w:rPr>
          <w:rFonts w:ascii="Times New Roman" w:hAnsi="Times New Roman" w:eastAsia="Times New Roman" w:cs="Times New Roman"/>
          <w:sz w:val="24"/>
          <w:szCs w:val="24"/>
        </w:rPr>
        <w:t>Artificial Intelligence has rapidly become one of the most significant forces reshaping the business landscape. The development of Large Language Models — particularly the GPT series by OpenAI, the Claude series by Anthropic, and models such as Kimi K2 by Moonshot AI — has substantially expanded AI’s strategic utility. These models are trained on vast corpora of text encompassing economics, law, finance, business strategy, and global affairs. When prompted with a detailed role description, real financial data, a set of objectives and constraints, and the state of an evolving scenario, they can generate nuanced, contextually appropriate strategic decisions that reflect the kind of reasoning a human expert in that role would undertake.</w:t>
      </w:r>
    </w:p>
    <w:p>
      <w:pPr>
        <w:spacing w:before="60" w:after="60"/>
      </w:pPr>
    </w:p>
    <w:p>
      <w:pPr>
        <w:spacing w:before="80" w:after="80" w:line="360" w:lineRule="auto"/>
        <w:jc w:val="both"/>
      </w:pPr>
      <w:r>
        <w:rPr>
          <w:rFonts w:ascii="Times New Roman" w:hAnsi="Times New Roman" w:eastAsia="Times New Roman" w:cs="Times New Roman"/>
          <w:sz w:val="24"/>
          <w:szCs w:val="24"/>
        </w:rPr>
        <w:t>This capability makes LLMs uniquely suited to serve as agents in ecosystem simulations. Rather than encoding agent decision-making as simple rules or optimisation functions — the traditional ABM approach — LLM agents can reason qualitatively about complex, multi-dimensional situations, balance competing objectives, and generate human-interpretable explanations for their decisions.</w:t>
      </w:r>
    </w:p>
    <w:p>
      <w:pPr>
        <w:spacing w:before="60" w:after="60"/>
      </w:pPr>
    </w:p>
    <w:p>
      <w:pPr>
        <w:spacing w:before="80" w:after="80" w:line="360" w:lineRule="auto"/>
        <w:jc w:val="both"/>
      </w:pPr>
      <w:r>
        <w:rPr>
          <w:rFonts w:ascii="Times New Roman" w:hAnsi="Times New Roman" w:eastAsia="Times New Roman" w:cs="Times New Roman"/>
          <w:sz w:val="24"/>
          <w:szCs w:val="24"/>
        </w:rPr>
        <w:t>The trajectory of AI’s penetration into business strategy has followed a recognisable S-curve. Early applications focused on narrow, well-defined tasks: credit scoring, demand forecasting, inventory optimisation, fraud detection. These rule-bound applications delivered substantial value but operated within tightly scoped domains. The arrival of transformer-based foundation models in 2017 (Vaswani et al.) and the demonstration of GPT-3’s few-shot learning capabilities in 2020 (Brown et al.) opened a qualitatively different frontier: AI systems capable of open-ended reasoning across arbitrary domains without task-specific training.</w:t>
      </w:r>
    </w:p>
    <w:p>
      <w:pPr>
        <w:spacing w:before="60" w:after="60"/>
      </w:pPr>
    </w:p>
    <w:p>
      <w:pPr>
        <w:spacing w:before="80" w:after="80" w:line="360" w:lineRule="auto"/>
        <w:jc w:val="both"/>
      </w:pPr>
      <w:r>
        <w:rPr>
          <w:rFonts w:ascii="Times New Roman" w:hAnsi="Times New Roman" w:eastAsia="Times New Roman" w:cs="Times New Roman"/>
          <w:sz w:val="24"/>
          <w:szCs w:val="24"/>
        </w:rPr>
        <w:t>By 2023–24, AI applications in business had expanded into strategic planning support, competitive intelligence, risk scenario generation, and executive briefing preparation. McKinsey’s 2024 Global Survey on AI found that 65% of organisations were using generative AI regularly, up from 33% in 2023. More relevantly for this project, AI-powered ‘war-gaming’ and scenario simulation tools had begun appearing in the offerings of major strategy consulting firms. This project participates in this emerging wave — not as a commercial product but as an academic demonstration of the underlying methodology’s validity and potential.</w:t>
      </w:r>
    </w:p>
    <w:p>
      <w:pPr>
        <w:spacing w:before="60" w:after="60"/>
      </w:pPr>
    </w:p>
    <w:p>
      <w:pPr>
        <w:spacing w:before="80" w:after="80" w:line="360" w:lineRule="auto"/>
        <w:jc w:val="both"/>
      </w:pPr>
      <w:r>
        <w:rPr>
          <w:rFonts w:ascii="Times New Roman" w:hAnsi="Times New Roman" w:eastAsia="Times New Roman" w:cs="Times New Roman"/>
          <w:sz w:val="24"/>
          <w:szCs w:val="24"/>
        </w:rPr>
        <w:t>The specific model used in this project — Moonshot AI’s Kimi K2, accessed via the OpenRouter API — is representative of a new generation of cost-effective, high-performance LLMs designed for complex multi-step reasoning tasks. Kimi K2’s architecture is optimised for long-context processing (capable of handling the extensive agent profiles, scenario context, and round memory that the simulation requires) and for structured output generation — producing valid JSON decision records that the simulation engine can parse programmatically. The choice of this model reflects the project’s emphasis on practical accessibility: the simulation can be run at USD 2–4 per full three-round run, placing it within the budget of any business school research project or corporate strategy team.</w:t>
      </w:r>
    </w:p>
    <w:p>
      <w:pPr>
        <w:pStyle w:val="3"/>
        <w:spacing w:before="300" w:after="160"/>
        <w:jc w:val="left"/>
        <w:outlineLvl w:val="1"/>
      </w:pPr>
      <w:r>
        <w:rPr>
          <w:rFonts w:ascii="Times New Roman" w:hAnsi="Times New Roman" w:eastAsia="Times New Roman" w:cs="Times New Roman"/>
          <w:b/>
          <w:bCs/>
          <w:sz w:val="28"/>
          <w:szCs w:val="28"/>
        </w:rPr>
        <w:t>1.4 Problem Statement</w:t>
      </w:r>
    </w:p>
    <w:p>
      <w:pPr>
        <w:spacing w:before="80" w:after="80" w:line="360" w:lineRule="auto"/>
        <w:jc w:val="both"/>
      </w:pPr>
      <w:r>
        <w:rPr>
          <w:rFonts w:ascii="Times New Roman" w:hAnsi="Times New Roman" w:eastAsia="Times New Roman" w:cs="Times New Roman"/>
          <w:sz w:val="24"/>
          <w:szCs w:val="24"/>
        </w:rPr>
        <w:t>Traditional strategic planning tools are static and single-actor in design, making them structurally incapable of modelling the multi-actor feedback loops that characterise real business ecosystem responses to external shocks. The specific problem this project addresses is: “How can a multi-agent AI simulation framework be designed, implemented, and validated for use as a strategic foresight tool that captures the emergent dynamics of business ecosystems in the Indian manufacturing sector responding to external shocks?”</w:t>
      </w:r>
    </w:p>
    <w:p>
      <w:pPr>
        <w:pStyle w:val="3"/>
        <w:spacing w:before="300" w:after="160"/>
        <w:jc w:val="left"/>
        <w:outlineLvl w:val="1"/>
      </w:pPr>
      <w:r>
        <w:rPr>
          <w:rFonts w:ascii="Times New Roman" w:hAnsi="Times New Roman" w:eastAsia="Times New Roman" w:cs="Times New Roman"/>
          <w:b/>
          <w:bCs/>
          <w:sz w:val="28"/>
          <w:szCs w:val="28"/>
        </w:rPr>
        <w:t>1.5 Objectives of the Study</w:t>
      </w:r>
    </w:p>
    <w:p>
      <w:pPr>
        <w:spacing w:before="80" w:after="80" w:line="360" w:lineRule="auto"/>
        <w:jc w:val="both"/>
      </w:pPr>
      <w:r>
        <w:rPr>
          <w:rFonts w:ascii="Times New Roman" w:hAnsi="Times New Roman" w:eastAsia="Times New Roman" w:cs="Times New Roman"/>
          <w:sz w:val="24"/>
          <w:szCs w:val="24"/>
        </w:rPr>
        <w:t>The objectives of this research project are as follows:</w:t>
      </w:r>
    </w:p>
    <w:p>
      <w:pPr>
        <w:pStyle w:val="16"/>
        <w:numPr>
          <w:ilvl w:val="0"/>
          <w:numId w:val="3"/>
        </w:numPr>
        <w:spacing w:before="60" w:after="60" w:line="360" w:lineRule="auto"/>
        <w:ind w:left="360" w:leftChars="0"/>
        <w:jc w:val="both"/>
      </w:pPr>
      <w:r>
        <w:rPr>
          <w:rFonts w:hint="default" w:cs="Times New Roman"/>
          <w:sz w:val="24"/>
          <w:szCs w:val="24"/>
          <w:lang w:val="en-US"/>
        </w:rPr>
        <w:t xml:space="preserve">  </w:t>
      </w:r>
      <w:r>
        <w:rPr>
          <w:rFonts w:ascii="Times New Roman" w:hAnsi="Times New Roman" w:eastAsia="Times New Roman" w:cs="Times New Roman"/>
          <w:sz w:val="24"/>
          <w:szCs w:val="24"/>
        </w:rPr>
        <w:t>To identify and articulate the structural limitations of existing strategic planning tools in the context of dynamic, multi-actor business ecosystems.</w:t>
      </w:r>
    </w:p>
    <w:p>
      <w:pPr>
        <w:pStyle w:val="16"/>
        <w:numPr>
          <w:ilvl w:val="0"/>
          <w:numId w:val="3"/>
        </w:numPr>
        <w:spacing w:before="60" w:after="60" w:line="360" w:lineRule="auto"/>
        <w:ind w:left="360" w:leftChars="0" w:firstLine="0" w:firstLineChars="0"/>
        <w:jc w:val="both"/>
      </w:pPr>
      <w:r>
        <w:rPr>
          <w:rFonts w:hint="default" w:cs="Times New Roman"/>
          <w:sz w:val="24"/>
          <w:szCs w:val="24"/>
          <w:lang w:val="en-US"/>
        </w:rPr>
        <w:t xml:space="preserve">  </w:t>
      </w:r>
      <w:r>
        <w:rPr>
          <w:rFonts w:ascii="Times New Roman" w:hAnsi="Times New Roman" w:eastAsia="Times New Roman" w:cs="Times New Roman"/>
          <w:sz w:val="24"/>
          <w:szCs w:val="24"/>
        </w:rPr>
        <w:t>To design a multi-agent AI simulation framework grounded in established economic and strategic management theories, capable of modelling ecosystem-level responses to external shocks.</w:t>
      </w:r>
    </w:p>
    <w:p>
      <w:pPr>
        <w:pStyle w:val="16"/>
        <w:numPr>
          <w:ilvl w:val="0"/>
          <w:numId w:val="3"/>
        </w:numPr>
        <w:spacing w:before="60" w:after="60" w:line="360" w:lineRule="auto"/>
        <w:ind w:left="360" w:leftChars="0" w:firstLine="0" w:firstLineChars="0"/>
        <w:jc w:val="both"/>
      </w:pPr>
      <w:r>
        <w:rPr>
          <w:rFonts w:hint="default" w:cs="Times New Roman"/>
          <w:sz w:val="24"/>
          <w:szCs w:val="24"/>
          <w:lang w:val="en-US"/>
        </w:rPr>
        <w:t xml:space="preserve">  </w:t>
      </w:r>
      <w:r>
        <w:rPr>
          <w:rFonts w:ascii="Times New Roman" w:hAnsi="Times New Roman" w:eastAsia="Times New Roman" w:cs="Times New Roman"/>
          <w:sz w:val="24"/>
          <w:szCs w:val="24"/>
        </w:rPr>
        <w:t>To implement the simulation framework using real-world financial data from publicly listed Indian companies, specifically Tata Steel Limited, as the primary ecosystem anchor.</w:t>
      </w:r>
    </w:p>
    <w:p>
      <w:pPr>
        <w:pStyle w:val="16"/>
        <w:numPr>
          <w:ilvl w:val="0"/>
          <w:numId w:val="3"/>
        </w:numPr>
        <w:spacing w:before="60" w:after="60" w:line="360" w:lineRule="auto"/>
        <w:ind w:left="360" w:leftChars="0" w:firstLine="0" w:firstLineChars="0"/>
        <w:jc w:val="both"/>
      </w:pPr>
      <w:r>
        <w:rPr>
          <w:rFonts w:hint="default" w:cs="Times New Roman"/>
          <w:sz w:val="24"/>
          <w:szCs w:val="24"/>
          <w:lang w:val="en-US"/>
        </w:rPr>
        <w:t xml:space="preserve">  </w:t>
      </w:r>
      <w:r>
        <w:rPr>
          <w:rFonts w:ascii="Times New Roman" w:hAnsi="Times New Roman" w:eastAsia="Times New Roman" w:cs="Times New Roman"/>
          <w:sz w:val="24"/>
          <w:szCs w:val="24"/>
        </w:rPr>
        <w:t>To demonstrate the framework’s capabilities by running a full simulation of the Indian steel ecosystem’s response to the imposition of a 50% US tariff under Section 232, and to document the emergent strategic dynamics produced.</w:t>
      </w:r>
    </w:p>
    <w:p>
      <w:pPr>
        <w:pStyle w:val="16"/>
        <w:numPr>
          <w:ilvl w:val="0"/>
          <w:numId w:val="3"/>
        </w:numPr>
        <w:spacing w:before="60" w:after="60" w:line="360" w:lineRule="auto"/>
        <w:ind w:left="360" w:leftChars="0" w:firstLine="0" w:firstLineChars="0"/>
        <w:jc w:val="both"/>
      </w:pPr>
      <w:r>
        <w:rPr>
          <w:rFonts w:hint="default" w:cs="Times New Roman"/>
          <w:sz w:val="24"/>
          <w:szCs w:val="24"/>
          <w:lang w:val="en-US"/>
        </w:rPr>
        <w:t xml:space="preserve">  </w:t>
      </w:r>
      <w:r>
        <w:rPr>
          <w:rFonts w:ascii="Times New Roman" w:hAnsi="Times New Roman" w:eastAsia="Times New Roman" w:cs="Times New Roman"/>
          <w:sz w:val="24"/>
          <w:szCs w:val="24"/>
        </w:rPr>
        <w:t>To validate the simulation outputs against observed real-world responses to comparable historical trade policy events, and to extract actionable strategic insights for companies and policymakers.</w:t>
      </w:r>
    </w:p>
    <w:p>
      <w:pPr>
        <w:pStyle w:val="3"/>
        <w:spacing w:before="300" w:after="160"/>
        <w:jc w:val="left"/>
        <w:outlineLvl w:val="1"/>
      </w:pPr>
      <w:r>
        <w:rPr>
          <w:rFonts w:ascii="Times New Roman" w:hAnsi="Times New Roman" w:eastAsia="Times New Roman" w:cs="Times New Roman"/>
          <w:b/>
          <w:bCs/>
          <w:sz w:val="28"/>
          <w:szCs w:val="28"/>
        </w:rPr>
        <w:t>1.6 Scope of the Study</w:t>
      </w:r>
    </w:p>
    <w:p>
      <w:pPr>
        <w:spacing w:before="80" w:after="80" w:line="360" w:lineRule="auto"/>
        <w:jc w:val="both"/>
      </w:pPr>
      <w:r>
        <w:rPr>
          <w:rFonts w:ascii="Times New Roman" w:hAnsi="Times New Roman" w:eastAsia="Times New Roman" w:cs="Times New Roman"/>
          <w:b/>
          <w:bCs/>
          <w:sz w:val="24"/>
          <w:szCs w:val="24"/>
        </w:rPr>
        <w:t xml:space="preserve">Sector Scope: </w:t>
      </w:r>
      <w:r>
        <w:rPr>
          <w:rFonts w:ascii="Times New Roman" w:hAnsi="Times New Roman" w:eastAsia="Times New Roman" w:cs="Times New Roman"/>
          <w:sz w:val="24"/>
          <w:szCs w:val="24"/>
        </w:rPr>
        <w:t>The Indian manufacturing sector, with primary focus on the steel sub-sector. Steel was selected because it is exposed to geopolitical and trade shocks, raw material volatility, regulatory intervention, and investor sentiment shifts — making it an ideal domain for demonstrating multi-actor ecosystem dynamics.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Company Scope: </w:t>
      </w:r>
      <w:r>
        <w:rPr>
          <w:rFonts w:ascii="Times New Roman" w:hAnsi="Times New Roman" w:eastAsia="Times New Roman" w:cs="Times New Roman"/>
          <w:sz w:val="24"/>
          <w:szCs w:val="24"/>
        </w:rPr>
        <w:t>Tata Steel Limited serves as the primary company agent. Tata Steel is India’s largest steel producer, listed on BSE and NSE, with globally integrated operations across India, Europe, and Southeast Asia.</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Temporal Scope: </w:t>
      </w:r>
      <w:r>
        <w:rPr>
          <w:rFonts w:ascii="Times New Roman" w:hAnsi="Times New Roman" w:eastAsia="Times New Roman" w:cs="Times New Roman"/>
          <w:sz w:val="24"/>
          <w:szCs w:val="24"/>
        </w:rPr>
        <w:t>Agent profiles are grounded in financial data for FY 2024–25. The simulation runs for three rounds, representing a medium-term strategic response horizon of approximately 6–18 months.</w:t>
      </w:r>
    </w:p>
    <w:p>
      <w:pPr>
        <w:spacing w:before="60" w:after="60"/>
      </w:pPr>
    </w:p>
    <w:p>
      <w:pPr>
        <w:spacing w:before="80" w:after="80" w:line="360" w:lineRule="auto"/>
        <w:jc w:val="both"/>
        <w:rPr>
          <w:rFonts w:hint="default"/>
          <w:lang w:val="en-US"/>
        </w:rPr>
      </w:pPr>
      <w:r>
        <w:rPr>
          <w:rFonts w:ascii="Times New Roman" w:hAnsi="Times New Roman" w:eastAsia="Times New Roman" w:cs="Times New Roman"/>
          <w:b/>
          <w:bCs/>
          <w:sz w:val="24"/>
          <w:szCs w:val="24"/>
        </w:rPr>
        <w:t xml:space="preserve">Methodological Scope: </w:t>
      </w:r>
      <w:r>
        <w:rPr>
          <w:rFonts w:ascii="Times New Roman" w:hAnsi="Times New Roman" w:eastAsia="Times New Roman" w:cs="Times New Roman"/>
          <w:sz w:val="24"/>
          <w:szCs w:val="24"/>
        </w:rPr>
        <w:t>The study uses secondary data exclusively. No primary surveys, interviews, or proprietary data were used. LLM reasoning constitutes the agent decision-making mechanism; no human respondents participated.</w:t>
      </w:r>
      <w:r>
        <w:rPr>
          <w:rFonts w:hint="default" w:cs="Times New Roman"/>
          <w:sz w:val="24"/>
          <w:szCs w:val="24"/>
          <w:lang w:val="en-US"/>
        </w:rPr>
        <w:t xml:space="preserve"> </w:t>
      </w:r>
    </w:p>
    <w:p>
      <w:pPr>
        <w:pStyle w:val="3"/>
        <w:spacing w:before="300" w:after="160"/>
        <w:jc w:val="left"/>
        <w:outlineLvl w:val="1"/>
      </w:pPr>
      <w:r>
        <w:rPr>
          <w:rFonts w:ascii="Times New Roman" w:hAnsi="Times New Roman" w:eastAsia="Times New Roman" w:cs="Times New Roman"/>
          <w:b/>
          <w:bCs/>
          <w:sz w:val="28"/>
          <w:szCs w:val="28"/>
        </w:rPr>
        <w:t>1.6b India Steel Sector — Strategic Context</w:t>
      </w:r>
    </w:p>
    <w:p>
      <w:pPr>
        <w:spacing w:before="80" w:after="80" w:line="360" w:lineRule="auto"/>
        <w:jc w:val="both"/>
      </w:pPr>
      <w:r>
        <w:rPr>
          <w:rFonts w:ascii="Times New Roman" w:hAnsi="Times New Roman" w:eastAsia="Times New Roman" w:cs="Times New Roman"/>
          <w:sz w:val="24"/>
          <w:szCs w:val="24"/>
        </w:rPr>
        <w:t>The Indian steel industry provides an ideal empirical context for this project for several reasons. It is large, globally integrated, and directly exposed to the full spectrum of macro-level forces: geopolitical trade policy (Section 232 tariffs), commodity price cycles (iron ore, coking coal), domestic regulatory action (DGTR safeguard duties), and financial market sentiment (FII flows into Indian equity markets). The following table summarises key structural parameters of the Indian steel sector that define the simulation's empirical context.</w:t>
      </w:r>
    </w:p>
    <w:tbl>
      <w:tblPr>
        <w:tblStyle w:val="9"/>
        <w:tblpPr w:leftFromText="180" w:rightFromText="180" w:vertAnchor="text" w:horzAnchor="page" w:tblpX="1598" w:tblpY="650"/>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000"/>
        <w:gridCol w:w="2400"/>
        <w:gridCol w:w="3960"/>
      </w:tblGrid>
      <w:tr>
        <w:trPr>
          <w:tblHeader/>
        </w:trPr>
        <w:tc>
          <w:tcPr>
            <w:tcW w:w="3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Parameter</w:t>
            </w:r>
          </w:p>
        </w:tc>
        <w:tc>
          <w:tcPr>
            <w:tcW w:w="2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Value</w:t>
            </w:r>
          </w:p>
        </w:tc>
        <w:tc>
          <w:tcPr>
            <w:tcW w:w="39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Significance for Simulation</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Total Crude Steel Production</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144 MTPA</w:t>
            </w:r>
          </w:p>
        </w:tc>
        <w:tc>
          <w:tcPr>
            <w:tcW w:w="3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World's 2nd largest producer; global market power</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National Steel Policy Target (2030)</w:t>
            </w:r>
          </w:p>
        </w:tc>
        <w:tc>
          <w:tcPr>
            <w:tcW w:w="2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300 MTPA</w:t>
            </w:r>
          </w:p>
        </w:tc>
        <w:tc>
          <w:tcPr>
            <w:tcW w:w="39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Government has strong long-term stake in sector health</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Direct Employment</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6 lakh (600,000) workers</w:t>
            </w:r>
          </w:p>
        </w:tc>
        <w:tc>
          <w:tcPr>
            <w:tcW w:w="3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Creates political pressure for government support during shocks</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Indirect Employment</w:t>
            </w:r>
          </w:p>
        </w:tc>
        <w:tc>
          <w:tcPr>
            <w:tcW w:w="2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25 lakh workers</w:t>
            </w:r>
          </w:p>
        </w:tc>
        <w:tc>
          <w:tcPr>
            <w:tcW w:w="39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Amplifies social impact of any production reduction</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GDP Contribution</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~2.0%</w:t>
            </w:r>
          </w:p>
        </w:tc>
        <w:tc>
          <w:tcPr>
            <w:tcW w:w="3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Macro-economic significance justifies government intervention</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Steel Exports (Total)</w:t>
            </w:r>
          </w:p>
        </w:tc>
        <w:tc>
          <w:tcPr>
            <w:tcW w:w="2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~USD 11 billion</w:t>
            </w:r>
          </w:p>
        </w:tc>
        <w:tc>
          <w:tcPr>
            <w:tcW w:w="39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Significant export sector; vulnerable to trade policy shocks</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Steel Exports to US</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USD 950 million</w:t>
            </w:r>
          </w:p>
        </w:tc>
        <w:tc>
          <w:tcPr>
            <w:tcW w:w="3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Direct exposure to Section 232 tariff action</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Import Duty (Most Grades)</w:t>
            </w:r>
          </w:p>
        </w:tc>
        <w:tc>
          <w:tcPr>
            <w:tcW w:w="2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7.5%</w:t>
            </w:r>
          </w:p>
        </w:tc>
        <w:tc>
          <w:tcPr>
            <w:tcW w:w="39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Government policy lever available for protective adjustment</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Key Domestic Producers</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 JSW Steel, JSPL, SAIL, AM/NS India</w:t>
            </w:r>
          </w:p>
        </w:tc>
        <w:tc>
          <w:tcPr>
            <w:tcW w:w="3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Competitive domestic market; intense rivalry drives efficiency</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India's Global Steel Rank</w:t>
            </w:r>
          </w:p>
        </w:tc>
        <w:tc>
          <w:tcPr>
            <w:tcW w:w="2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 (after China)</w:t>
            </w:r>
          </w:p>
        </w:tc>
        <w:tc>
          <w:tcPr>
            <w:tcW w:w="39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Geopolitical significance in global steel trade negotiations</w:t>
            </w:r>
          </w:p>
        </w:tc>
      </w:tr>
    </w:tbl>
    <w:p>
      <w:pPr>
        <w:spacing w:before="60" w:after="60"/>
      </w:pPr>
    </w:p>
    <w:p>
      <w:pPr>
        <w:spacing w:before="120" w:after="80"/>
        <w:jc w:val="center"/>
      </w:pPr>
      <w:r>
        <w:rPr>
          <w:rFonts w:ascii="Times New Roman" w:hAnsi="Times New Roman" w:eastAsia="Times New Roman" w:cs="Times New Roman"/>
          <w:b/>
          <w:bCs/>
          <w:i/>
          <w:iCs/>
          <w:sz w:val="24"/>
          <w:szCs w:val="24"/>
        </w:rPr>
        <w:t>Table 1.2: Indian Steel Sector — Key Structural Parameters (FY 2024–25)</w:t>
      </w:r>
    </w:p>
    <w:p>
      <w:pPr>
        <w:spacing w:before="60" w:after="60"/>
      </w:pPr>
    </w:p>
    <w:p>
      <w:pPr>
        <w:spacing w:before="80" w:after="80" w:line="360" w:lineRule="auto"/>
        <w:jc w:val="both"/>
      </w:pPr>
      <w:r>
        <w:rPr>
          <w:rFonts w:ascii="Times New Roman" w:hAnsi="Times New Roman" w:eastAsia="Times New Roman" w:cs="Times New Roman"/>
          <w:sz w:val="24"/>
          <w:szCs w:val="24"/>
        </w:rPr>
        <w:t>India's steel industry has a long and documented exposure to trade policy shocks. The 2018 Section 232 tariff at 25%, the 2015–16 import surge that triggered DGTR investigations, and the 2020 COVID-related demand collapse each created distinct ecosystem-level responses. This historical record provides a rich empirical validation base for the simulation's outputs and anchors the project in a sector with genuine strategic relevance.</w:t>
      </w:r>
    </w:p>
    <w:p>
      <w:pPr>
        <w:spacing w:before="60" w:after="60"/>
        <w:rPr>
          <w:rFonts w:hint="default"/>
          <w:lang w:val="en-US"/>
        </w:rPr>
      </w:pPr>
    </w:p>
    <w:p>
      <w:pPr>
        <w:spacing w:before="80" w:after="80" w:line="360" w:lineRule="auto"/>
        <w:jc w:val="both"/>
      </w:pPr>
      <w:r>
        <w:rPr>
          <w:rFonts w:ascii="Times New Roman" w:hAnsi="Times New Roman" w:eastAsia="Times New Roman" w:cs="Times New Roman"/>
          <w:sz w:val="24"/>
          <w:szCs w:val="24"/>
        </w:rPr>
        <w:t>Tata Steel Limited, as the sector's largest listed company and the primary company agent in the simulation, is well-positioned as an analytical anchor. Its integrated operations across the steel value chain (captive iron ore, coal procurement, steelmaking, downstream processing, export logistics) mean that it interfaces with every other actor type in the ecosystem: it purchases iron ore from suppliers, sells to industrial consumers, operates under government and regulatory oversight, and is continuously evaluated by institutional investors. This position as a value chain integrator makes Tata Steel the ideal focal company for a multi-actor ecosystem simulation.</w:t>
      </w:r>
    </w:p>
    <w:p>
      <w:pPr>
        <w:pStyle w:val="3"/>
        <w:spacing w:before="300" w:after="160"/>
        <w:jc w:val="left"/>
        <w:outlineLvl w:val="1"/>
      </w:pPr>
      <w:r>
        <w:rPr>
          <w:rFonts w:ascii="Times New Roman" w:hAnsi="Times New Roman" w:eastAsia="Times New Roman" w:cs="Times New Roman"/>
          <w:b/>
          <w:bCs/>
          <w:sz w:val="28"/>
          <w:szCs w:val="28"/>
        </w:rPr>
        <w:t>1.7 Significance of the Study</w:t>
      </w:r>
    </w:p>
    <w:p>
      <w:pPr>
        <w:spacing w:before="80" w:after="80" w:line="360" w:lineRule="auto"/>
        <w:jc w:val="both"/>
      </w:pPr>
      <w:r>
        <w:rPr>
          <w:rFonts w:ascii="Times New Roman" w:hAnsi="Times New Roman" w:eastAsia="Times New Roman" w:cs="Times New Roman"/>
          <w:b/>
          <w:bCs/>
          <w:sz w:val="24"/>
          <w:szCs w:val="24"/>
        </w:rPr>
        <w:t xml:space="preserve">Academic Contribution: </w:t>
      </w:r>
      <w:r>
        <w:rPr>
          <w:rFonts w:ascii="Times New Roman" w:hAnsi="Times New Roman" w:eastAsia="Times New Roman" w:cs="Times New Roman"/>
          <w:sz w:val="24"/>
          <w:szCs w:val="24"/>
        </w:rPr>
        <w:t>It demonstrates the feasibility of combining Agent-Based Modelling methodology with Large Language Model reasoning to produce a qualitatively richer class of business ecosystem simulation. It contributes an implemented framework — not merely a theoretical proposal — to the emerging literature on AI in strategic decision-making.</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Practical Contribution: </w:t>
      </w:r>
      <w:r>
        <w:rPr>
          <w:rFonts w:ascii="Times New Roman" w:hAnsi="Times New Roman" w:eastAsia="Times New Roman" w:cs="Times New Roman"/>
          <w:sz w:val="24"/>
          <w:szCs w:val="24"/>
        </w:rPr>
        <w:t>For companies operating in complex, multi-stakeholder environments, the framework provides a structured method for anticipating second-order effects of external shocks before they materialise. This enables pre-emptive strategy rather than reactive adaptation.</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Policy Contribution: </w:t>
      </w:r>
      <w:r>
        <w:rPr>
          <w:rFonts w:ascii="Times New Roman" w:hAnsi="Times New Roman" w:eastAsia="Times New Roman" w:cs="Times New Roman"/>
          <w:sz w:val="24"/>
          <w:szCs w:val="24"/>
        </w:rPr>
        <w:t>For government and regulatory bodies, the simulation provides a laboratory for testing policy interventions and observing their downstream consequences on the ecosystem — including unintended effects that are difficult to anticipate through conventional analysis.</w:t>
      </w:r>
    </w:p>
    <w:p>
      <w:pPr>
        <w:pStyle w:val="3"/>
        <w:spacing w:before="300" w:after="160"/>
        <w:jc w:val="left"/>
        <w:outlineLvl w:val="1"/>
      </w:pPr>
      <w:r>
        <w:rPr>
          <w:rFonts w:ascii="Times New Roman" w:hAnsi="Times New Roman" w:eastAsia="Times New Roman" w:cs="Times New Roman"/>
          <w:b/>
          <w:bCs/>
          <w:sz w:val="28"/>
          <w:szCs w:val="28"/>
        </w:rPr>
        <w:t>1.8 Chapter Organisation</w:t>
      </w:r>
    </w:p>
    <w:p>
      <w:pPr>
        <w:spacing w:before="80" w:after="80" w:line="360" w:lineRule="auto"/>
        <w:jc w:val="both"/>
      </w:pPr>
      <w:r>
        <w:rPr>
          <w:rFonts w:ascii="Times New Roman" w:hAnsi="Times New Roman" w:eastAsia="Times New Roman" w:cs="Times New Roman"/>
          <w:sz w:val="24"/>
          <w:szCs w:val="24"/>
        </w:rPr>
        <w:t>Chapter 2 provides a comprehensive review of the literature spanning Agent-Based Modelling, strategic foresight, game theory, LLMs, and the Indian manufacturing sector. Chapter 3 describes the research methodology, covering the simulation design, agent architecture, data sources, and validity framework. Chapter 4 presents the simulation results in detail, with round-by-round analysis of agent decisions, market dynamics, and ecosystem-level patterns. Chapter 5 synthesises the key findings, validates them against historical events, and draws strategic conclusions. Chapter 6 offers recommendations, acknowledges limitations, and charts future research directions. References and Annexures follow.</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CHAPTER 2
REVIEW OF LITERATURE</w:t>
      </w:r>
    </w:p>
    <w:p>
      <w:pPr>
        <w:pStyle w:val="3"/>
        <w:spacing w:before="300" w:after="160"/>
        <w:jc w:val="left"/>
        <w:outlineLvl w:val="1"/>
      </w:pPr>
      <w:r>
        <w:rPr>
          <w:rFonts w:ascii="Times New Roman" w:hAnsi="Times New Roman" w:eastAsia="Times New Roman" w:cs="Times New Roman"/>
          <w:b/>
          <w:bCs/>
          <w:sz w:val="28"/>
          <w:szCs w:val="28"/>
        </w:rPr>
        <w:t>2.1 Introduction</w:t>
      </w:r>
    </w:p>
    <w:p>
      <w:pPr>
        <w:spacing w:before="80" w:after="80" w:line="360" w:lineRule="auto"/>
        <w:jc w:val="both"/>
      </w:pPr>
      <w:r>
        <w:rPr>
          <w:rFonts w:ascii="Times New Roman" w:hAnsi="Times New Roman" w:eastAsia="Times New Roman" w:cs="Times New Roman"/>
          <w:sz w:val="24"/>
          <w:szCs w:val="24"/>
        </w:rPr>
        <w:t>This chapter reviews the academic and practitioner literature relevant to the design and execution of this project. The review spans five interconnected domains: (1) Agent-Based Modelling as a methodology for simulating complex systems; (2) strategic foresight and scenario planning, the tradition this project seeks to extend; (3) game theory and its applications to multi-actor strategic interactions; (4) Large Language Models as agents in decision-making contexts; and (5) the Indian manufacturing sector, specifically the steel industry, which provides the empirical context.</w:t>
      </w:r>
    </w:p>
    <w:p>
      <w:pPr>
        <w:pStyle w:val="3"/>
        <w:spacing w:before="300" w:after="160"/>
        <w:jc w:val="left"/>
        <w:outlineLvl w:val="1"/>
      </w:pPr>
      <w:r>
        <w:rPr>
          <w:rFonts w:ascii="Times New Roman" w:hAnsi="Times New Roman" w:eastAsia="Times New Roman" w:cs="Times New Roman"/>
          <w:b/>
          <w:bCs/>
          <w:sz w:val="28"/>
          <w:szCs w:val="28"/>
        </w:rPr>
        <w:t>2.2 Agent-Based Modelling: Origins and Applications</w:t>
      </w:r>
    </w:p>
    <w:p>
      <w:pPr>
        <w:spacing w:before="80" w:after="80" w:line="360" w:lineRule="auto"/>
        <w:jc w:val="both"/>
      </w:pPr>
      <w:r>
        <w:rPr>
          <w:rFonts w:ascii="Times New Roman" w:hAnsi="Times New Roman" w:eastAsia="Times New Roman" w:cs="Times New Roman"/>
          <w:sz w:val="24"/>
          <w:szCs w:val="24"/>
        </w:rPr>
        <w:t>Agent-Based Modelling (ABM) is a computational methodology in which a system is represented as a collection of autonomous agents, each following behavioural rules, interacting with each other and with their environment. The aggregate behaviour of the system — including patterns, structures, and dynamics not explicitly programmed — emerges from these local interactions. This phenomenon, known as emergence, is the defining characteristic and central analytical output of ABM.</w:t>
      </w:r>
    </w:p>
    <w:p>
      <w:pPr>
        <w:spacing w:before="60" w:after="60"/>
      </w:pPr>
    </w:p>
    <w:p>
      <w:pPr>
        <w:spacing w:before="80" w:after="80" w:line="360" w:lineRule="auto"/>
        <w:jc w:val="both"/>
      </w:pPr>
      <w:r>
        <w:rPr>
          <w:rFonts w:ascii="Times New Roman" w:hAnsi="Times New Roman" w:eastAsia="Times New Roman" w:cs="Times New Roman"/>
          <w:sz w:val="24"/>
          <w:szCs w:val="24"/>
        </w:rPr>
        <w:t>The intellectual roots of ABM lie in complexity theory and computational social science. Robert Axelrod’s foundational work, The Evolution of Cooperation (1984), used a simple agent-based tournament to demonstrate that cooperative behaviour could emerge from purely self-interested agents playing iterated Prisoner’s Dilemma games. Epstein and Axtell (1996), in Growing Artificial Societies, extended ABM to macroscopic social phenomena. Leigh Tesfatsion (2006) consolidated these contributions into Agent-Based Computational Economics (ACE), a rigorous framework for studying economic systems as evolving systems of interacting agents. ACE has been applied to financial markets, supply chain management, industrial organisation, and regulatory policy analysis.</w:t>
      </w:r>
    </w:p>
    <w:p>
      <w:pPr>
        <w:spacing w:before="60" w:after="60"/>
      </w:pPr>
    </w:p>
    <w:p>
      <w:pPr>
        <w:spacing w:before="80" w:after="80" w:line="360" w:lineRule="auto"/>
        <w:jc w:val="both"/>
      </w:pPr>
      <w:r>
        <w:rPr>
          <w:rFonts w:ascii="Times New Roman" w:hAnsi="Times New Roman" w:eastAsia="Times New Roman" w:cs="Times New Roman"/>
          <w:sz w:val="24"/>
          <w:szCs w:val="24"/>
        </w:rPr>
        <w:t>In the strategy literature, ABM has been applied to competitive dynamics (Lomi and Larsen 2001), industry evolution (Malerba et al. 1999), and organisational learning (Levinthal 1997). However, penetration into mainstream strategic management practice has remained limited, partly due to the technical demands of ABM implementation and partly because traditional ABM agents are programmed with simplified decision rules that may not capture the richness of human strategic reasoning.</w:t>
      </w:r>
    </w:p>
    <w:p>
      <w:pPr>
        <w:spacing w:before="60" w:after="60"/>
      </w:pPr>
    </w:p>
    <w:p>
      <w:pPr>
        <w:spacing w:before="80" w:after="80" w:line="360" w:lineRule="auto"/>
        <w:jc w:val="both"/>
      </w:pPr>
      <w:r>
        <w:rPr>
          <w:rFonts w:ascii="Times New Roman" w:hAnsi="Times New Roman" w:eastAsia="Times New Roman" w:cs="Times New Roman"/>
          <w:sz w:val="24"/>
          <w:szCs w:val="24"/>
        </w:rPr>
        <w:t>ABM’s distinctive analytical contribution is the ability to trace the causal mechanisms by which macro-level patterns arise from micro-level interactions. This ‘bottom-up’ approach contrasts with equation-based modelling (such as System Dynamics), which works ‘top-down’ by specifying aggregate level equations. In the context of trade policy shocks, the distinction is consequential: equation-based models can estimate aggregate welfare effects but cannot reveal which actor drove a particular outcome and why. ABM reveals the who and the why — the specific agent decisions and interaction sequences that produce system-level patterns. This explanatory richness is directly operationalised in this project through the LLM agents’ natural language reasoning, which provides a human-interpretable causal account of each round’s ecosystem dynamics.</w:t>
      </w:r>
    </w:p>
    <w:p>
      <w:pPr>
        <w:spacing w:before="60" w:after="60"/>
      </w:pPr>
    </w:p>
    <w:p>
      <w:pPr>
        <w:spacing w:before="80" w:after="80" w:line="360" w:lineRule="auto"/>
        <w:jc w:val="both"/>
      </w:pPr>
      <w:r>
        <w:rPr>
          <w:rFonts w:ascii="Times New Roman" w:hAnsi="Times New Roman" w:eastAsia="Times New Roman" w:cs="Times New Roman"/>
          <w:sz w:val="24"/>
          <w:szCs w:val="24"/>
        </w:rPr>
        <w:t>The technical platform for implementing ABM has evolved substantially over the past decade. NetLogo, once the dominant tool, has been supplemented by Python-based frameworks including Mesa, which is used in academic research, and FLAME-GPU for high-performance parallel simulation. The present project implements a custom Python simulation engine rather than using an existing ABM platform, for two reasons: (1) existing platforms are designed for rule-based agents and do not provide native integration with LLM API backends; (2) the custom engine allows for the StateResolver’s deterministic 10-step pipeline to be implemented precisely as specified by the theoretical design.</w:t>
      </w:r>
    </w:p>
    <w:p>
      <w:pPr>
        <w:pStyle w:val="3"/>
        <w:spacing w:before="300" w:after="160"/>
        <w:jc w:val="left"/>
        <w:outlineLvl w:val="1"/>
      </w:pPr>
      <w:r>
        <w:rPr>
          <w:rFonts w:ascii="Times New Roman" w:hAnsi="Times New Roman" w:eastAsia="Times New Roman" w:cs="Times New Roman"/>
          <w:b/>
          <w:bCs/>
          <w:sz w:val="28"/>
          <w:szCs w:val="28"/>
        </w:rPr>
        <w:t>2.3 Strategic Foresight and Scenario Planning</w:t>
      </w:r>
    </w:p>
    <w:p>
      <w:pPr>
        <w:spacing w:before="80" w:after="80" w:line="360" w:lineRule="auto"/>
        <w:jc w:val="both"/>
      </w:pPr>
      <w:r>
        <w:rPr>
          <w:rFonts w:ascii="Times New Roman" w:hAnsi="Times New Roman" w:eastAsia="Times New Roman" w:cs="Times New Roman"/>
          <w:sz w:val="24"/>
          <w:szCs w:val="24"/>
        </w:rPr>
        <w:t>Strategic foresight — the systematic effort to anticipate and prepare for multiple possible futures — has been a core concern of strategic management since the 1970s. The tradition began with Royal Dutch Shell’s adoption of scenario planning as a corporate planning tool, famously enabling Shell to anticipate the 1973 oil crisis and adapt more effectively than competitors (Wack 1985). Schwartz (1991), in The Art of the Long View, systematised Shell’s scenario methodology into a general framework involving the identification of driving forces, critical uncertainties, and the construction of scenario matrices. Van der Heijden (1996) further developed the theoretical foundations of scenario planning, emphasising the organisational learning dimensions of the process.</w:t>
      </w:r>
    </w:p>
    <w:p>
      <w:pPr>
        <w:spacing w:before="60" w:after="60"/>
      </w:pPr>
    </w:p>
    <w:p>
      <w:pPr>
        <w:spacing w:before="80" w:after="80" w:line="360" w:lineRule="auto"/>
        <w:jc w:val="both"/>
      </w:pPr>
      <w:r>
        <w:rPr>
          <w:rFonts w:ascii="Times New Roman" w:hAnsi="Times New Roman" w:eastAsia="Times New Roman" w:cs="Times New Roman"/>
          <w:sz w:val="24"/>
          <w:szCs w:val="24"/>
        </w:rPr>
        <w:t>Academic literature on scenario planning has identified several persistent limitations. First, traditional scenario planning is qualitative and narrative in nature, making it resistant to quantitative validation. Second, most scenario methodologies model a small number of discrete futures. Third, and most relevant to this project, the vast majority of scenario planning methodologies are single-actor: they ask what the focal organisation should do under each scenario, rather than simulating the ecosystem’s collective response. This project draws on the scenario planning tradition’s emphasis on structured scenario definition but replaces single-actor analysis with a full multi-actor LLM simulation.</w:t>
      </w:r>
    </w:p>
    <w:p>
      <w:pPr>
        <w:spacing w:before="60" w:after="60"/>
      </w:pPr>
    </w:p>
    <w:p>
      <w:pPr>
        <w:spacing w:before="80" w:after="80" w:line="360" w:lineRule="auto"/>
        <w:jc w:val="both"/>
      </w:pPr>
      <w:r>
        <w:rPr>
          <w:rFonts w:ascii="Times New Roman" w:hAnsi="Times New Roman" w:eastAsia="Times New Roman" w:cs="Times New Roman"/>
          <w:sz w:val="24"/>
          <w:szCs w:val="24"/>
        </w:rPr>
        <w:t>The war-gaming tradition within strategic foresight is a partial exception to the single-actor limitation. Military and competitive intelligence war-gaming methodologies involve multiple ‘red teams’ representing different actors — competitors, regulators, customers — and simulate how each team would respond to specific scenarios (Gilad 2009). However, human war-gaming is expensive (requiring expert participants for each actor role), time-consuming, and difficult to scale to more than 6–8 actors. LLM-powered simulation democratises and scales the multi-actor war-game: the same analytical depth is achievable with a laptop, an API key, and a USD 4 budget. This cost and accessibility advantage is the practical foundation for the present project’s commercial viability argument.</w:t>
      </w:r>
    </w:p>
    <w:p>
      <w:pPr>
        <w:spacing w:before="60" w:after="60"/>
      </w:pPr>
    </w:p>
    <w:p>
      <w:pPr>
        <w:spacing w:before="80" w:after="80" w:line="360" w:lineRule="auto"/>
        <w:jc w:val="both"/>
      </w:pPr>
      <w:r>
        <w:rPr>
          <w:rFonts w:ascii="Times New Roman" w:hAnsi="Times New Roman" w:eastAsia="Times New Roman" w:cs="Times New Roman"/>
          <w:sz w:val="24"/>
          <w:szCs w:val="24"/>
        </w:rPr>
        <w:t>The quantitative scenario planning tradition — including Monte Carlo simulation and real options analysis — provides quantitative rigour but lacks agent-level explanatory power. Monte Carlo models generate probability distributions over outcomes by sampling from uncertainty distributions on input parameters. They reveal what range of outcomes is plausible but not why specific outcomes occur or what decisions by which actors drove them. Real options analysis (Dixit and Pindyck 1994) models the value of managerial flexibility under uncertainty, but assumes a single decision-maker. Both traditions complement rather than substitute for multi-agent simulation: Monte Carlo provides the probabilistic envelope within which simulation trajectories should fall; real options quantifies the value of the adaptive flexibility that the simulation reveals is exercised by agents like Tata Steel.</w:t>
      </w:r>
    </w:p>
    <w:p>
      <w:pPr>
        <w:pStyle w:val="3"/>
        <w:spacing w:before="300" w:after="160"/>
        <w:jc w:val="left"/>
        <w:outlineLvl w:val="1"/>
      </w:pPr>
      <w:r>
        <w:rPr>
          <w:rFonts w:ascii="Times New Roman" w:hAnsi="Times New Roman" w:eastAsia="Times New Roman" w:cs="Times New Roman"/>
          <w:b/>
          <w:bCs/>
          <w:sz w:val="28"/>
          <w:szCs w:val="28"/>
        </w:rPr>
        <w:t>2.4 Game Theory in Business Strategy</w:t>
      </w:r>
    </w:p>
    <w:p>
      <w:pPr>
        <w:spacing w:before="80" w:after="80" w:line="360" w:lineRule="auto"/>
        <w:jc w:val="both"/>
      </w:pPr>
      <w:r>
        <w:rPr>
          <w:rFonts w:ascii="Times New Roman" w:hAnsi="Times New Roman" w:eastAsia="Times New Roman" w:cs="Times New Roman"/>
          <w:sz w:val="24"/>
          <w:szCs w:val="24"/>
        </w:rPr>
        <w:t>Game theory, developed by Von Neumann and Morgenstern (1944) and extended by Nash (1950), provides a formal framework for analysing strategic interactions between rational actors. Several game-theoretic concepts are pertinent to this project. The Prisoner’s Dilemma formalises situations in which individual rationality produces collectively suboptimal outcomes; applied to international trade, it captures why countries may escalate tariff barriers even when free trade is Pareto superior. Nash Equilibrium predicts the stable outcome of strategic interaction when no player can improve their outcome by unilaterally changing strategy — observable in the simulation as convergence of agent strategies across rounds. Stackelberg Leadership models first-mover advantage; the US tariff action represents a Stackelberg-like move that forces all other ecosystem actors to formulate responses.</w:t>
      </w:r>
    </w:p>
    <w:p>
      <w:pPr>
        <w:spacing w:before="60" w:after="60"/>
      </w:pPr>
    </w:p>
    <w:p>
      <w:pPr>
        <w:spacing w:before="80" w:after="80" w:line="360" w:lineRule="auto"/>
        <w:jc w:val="both"/>
      </w:pPr>
      <w:r>
        <w:rPr>
          <w:rFonts w:ascii="Times New Roman" w:hAnsi="Times New Roman" w:eastAsia="Times New Roman" w:cs="Times New Roman"/>
          <w:sz w:val="24"/>
          <w:szCs w:val="24"/>
        </w:rPr>
        <w:t>Repeated game theory extends the static Nash framework to ongoing interactions across multiple periods. In repeated games, cooperative outcomes that are unstable in one-shot interactions can be sustained as equilibria through the threat of future retaliation — the ‘folk theorem’ of game theory. This is directly relevant to the India-US trade relationship modelled in the shock scenario: India’s WTO challenge and threat of retaliatory tariffs (the Indian government’s 2018 response to Section 232 included a list of retaliatory tariff proposals) can be understood as a repeated-game commitment strategy designed to impose costs on the US for its unilateral action and deter future escalation. The simulation captures this through the Government of India agent’s persistent WTO challenge strategy across all three rounds, which functions as a credible commitment to the rules-based trading order.</w:t>
      </w:r>
    </w:p>
    <w:p>
      <w:pPr>
        <w:spacing w:before="60" w:after="60"/>
      </w:pPr>
    </w:p>
    <w:p>
      <w:pPr>
        <w:spacing w:before="80" w:after="80" w:line="360" w:lineRule="auto"/>
        <w:jc w:val="both"/>
      </w:pPr>
      <w:r>
        <w:rPr>
          <w:rFonts w:ascii="Times New Roman" w:hAnsi="Times New Roman" w:eastAsia="Times New Roman" w:cs="Times New Roman"/>
          <w:sz w:val="24"/>
          <w:szCs w:val="24"/>
        </w:rPr>
        <w:t>Cooperative game theory — particularly the Shapley value framework for allocating the gains from coalition formation — provides a theoretical lens for interpreting the Iron Ore Supplier agent’s long-term contract offer in Round 2. By offering a three-year indexed contract, the supplier is proposing a cooperative arrangement that shares the gains from supply stability between itself and Tata Steel — both parties benefit from price predictability under uncertainty. The Shapley value framework would predict that the contractual terms should reflect each party’s marginal contribution to the cooperative surplus, producing a price that compensates the supplier for the option value it surrenders while leaving Tata Steel better off than under spot procurement. The simulation does not compute Shapley values explicitly, but the directional prediction — cooperation emerges under uncertainty — is confirmed by the supplier’s Round 2 decision.</w:t>
      </w:r>
    </w:p>
    <w:p>
      <w:pPr>
        <w:pStyle w:val="3"/>
        <w:spacing w:before="300" w:after="160"/>
        <w:jc w:val="left"/>
        <w:outlineLvl w:val="1"/>
      </w:pPr>
      <w:r>
        <w:rPr>
          <w:rFonts w:ascii="Times New Roman" w:hAnsi="Times New Roman" w:eastAsia="Times New Roman" w:cs="Times New Roman"/>
          <w:b/>
          <w:bCs/>
          <w:sz w:val="28"/>
          <w:szCs w:val="28"/>
        </w:rPr>
        <w:t>2.5 Principal-Agent Theory and Information Asymmetry</w:t>
      </w:r>
    </w:p>
    <w:p>
      <w:pPr>
        <w:spacing w:before="80" w:after="80" w:line="360" w:lineRule="auto"/>
        <w:jc w:val="both"/>
      </w:pPr>
      <w:r>
        <w:rPr>
          <w:rFonts w:ascii="Times New Roman" w:hAnsi="Times New Roman" w:eastAsia="Times New Roman" w:cs="Times New Roman"/>
          <w:sz w:val="24"/>
          <w:szCs w:val="24"/>
        </w:rPr>
        <w:t>Principal-Agent Theory, developed by Jensen and Meckling (1976) and Holmstrom (1979), analyses situations where one party (the principal) delegates decision-making authority to another (the agent) who has private information not accessible to the principal. Applied to business ecosystems, principal-agent dynamics manifest in regulatory capture — the phenomenon where a regulatory agency becomes aligned with the interests of the industry it regulates rather than the public interest. The DGTR agent’s design includes a capture score parameter that tracks the extent to which lobbying by steel producers influences investigation outcomes. Information asymmetry between agents is enforced through the VisibilityFilter module, which determines what each agent can observe about other agents’ states, producing more realistic strategic interaction than a complete-information setting would.</w:t>
      </w:r>
    </w:p>
    <w:p>
      <w:pPr>
        <w:pStyle w:val="3"/>
        <w:spacing w:before="300" w:after="160"/>
        <w:jc w:val="left"/>
        <w:outlineLvl w:val="1"/>
        <w:rPr>
          <w:rFonts w:ascii="Times New Roman" w:hAnsi="Times New Roman" w:eastAsia="Times New Roman" w:cs="Times New Roman"/>
          <w:b/>
          <w:bCs/>
          <w:sz w:val="28"/>
          <w:szCs w:val="28"/>
        </w:rPr>
      </w:pPr>
    </w:p>
    <w:p>
      <w:pPr>
        <w:pStyle w:val="3"/>
        <w:spacing w:before="300" w:after="160"/>
        <w:jc w:val="left"/>
        <w:outlineLvl w:val="1"/>
      </w:pPr>
      <w:r>
        <w:rPr>
          <w:rFonts w:ascii="Times New Roman" w:hAnsi="Times New Roman" w:eastAsia="Times New Roman" w:cs="Times New Roman"/>
          <w:b/>
          <w:bCs/>
          <w:sz w:val="28"/>
          <w:szCs w:val="28"/>
        </w:rPr>
        <w:t>2.6 Large Language Models as Strategic Reasoning Agents</w:t>
      </w:r>
    </w:p>
    <w:p>
      <w:pPr>
        <w:spacing w:before="80" w:after="80" w:line="360" w:lineRule="auto"/>
        <w:jc w:val="both"/>
      </w:pPr>
      <w:r>
        <w:rPr>
          <w:rFonts w:ascii="Times New Roman" w:hAnsi="Times New Roman" w:eastAsia="Times New Roman" w:cs="Times New Roman"/>
          <w:sz w:val="24"/>
          <w:szCs w:val="24"/>
        </w:rPr>
        <w:t>Large Language Models represent a qualitative advance in AI capability that directly enables the approach taken in this project. Brown et al. (2020), in their introduction of GPT-3, demonstrated that LLMs could perform complex reasoning tasks without task-specific training through in-context learning. Wei et al. (2022) demonstrated that Chain-of-Thought prompting substantially improved LLM performance on complex multi-step reasoning tasks — validating the use of detailed contextual prompts in the PromptBuilder module. Park et al. (2023), in Generative Agents, demonstrated that LLMs could simulate human behaviour with sufficient realism that observers could not reliably distinguish AI-generated social behaviour from human behaviour in a simulated environment. AutoGen (Wu et al. 2023) extended this to multi-agent settings, demonstrating cooperative and competitive agent interactions. The present project contributes to this emerging literature by demonstrating LLM agent application in the domain of strategic foresight for real-world industrial ecosystems.</w:t>
      </w:r>
    </w:p>
    <w:p>
      <w:pPr>
        <w:spacing w:before="60" w:after="60"/>
      </w:pPr>
    </w:p>
    <w:p>
      <w:pPr>
        <w:spacing w:before="80" w:after="80" w:line="360" w:lineRule="auto"/>
        <w:jc w:val="both"/>
      </w:pPr>
      <w:r>
        <w:rPr>
          <w:rFonts w:ascii="Times New Roman" w:hAnsi="Times New Roman" w:eastAsia="Times New Roman" w:cs="Times New Roman"/>
          <w:sz w:val="24"/>
          <w:szCs w:val="24"/>
        </w:rPr>
        <w:t>The specific mechanism by which LLMs are used as agents in this project deserves careful theoretical articulation. Each agent receives a structured prompt consisting of five components: (1) a role instruction defining the agent's identity, objectives, and constraints; (2) real-world financial and operational data embedded in the profile; (3) the shock scenario context; (4) the agent's own decision history from prior rounds; and (5) the public signals issued by other agents in the prior round. The LLM is instructed to produce a structured JSON output specifying: the primary action selected from a predefined action taxonomy; a textual reasoning explanation; a confidence score (0–1); impact areas; and a metrics change vector. This output structure enforces discipline on the LLM's response while preserving the flexibility to reason qualitatively about complex strategic tradeoffs.</w:t>
      </w:r>
    </w:p>
    <w:p>
      <w:pPr>
        <w:spacing w:before="60" w:after="60"/>
      </w:pPr>
    </w:p>
    <w:p>
      <w:pPr>
        <w:spacing w:before="80" w:after="80" w:line="360" w:lineRule="auto"/>
        <w:jc w:val="both"/>
      </w:pPr>
      <w:r>
        <w:rPr>
          <w:rFonts w:ascii="Times New Roman" w:hAnsi="Times New Roman" w:eastAsia="Times New Roman" w:cs="Times New Roman"/>
          <w:sz w:val="24"/>
          <w:szCs w:val="24"/>
        </w:rPr>
        <w:t>The in-context learning property of LLMs — their ability to update their reasoning based on new information provided in the prompt without retraining — makes them uniquely suitable for multi-round simulation. As each round progresses, the prompt grows to include prior-round memory, effectively 'teaching' the agent about its past decisions and their consequences. This produces the observed pattern of strategy refinement across rounds — Tata Steel's increasing confidence and strategy consolidation from Round 1 to Round 3 reflects the LLM's integration of prior round outcomes into its current-round reasoning. This is computationally analogous to the organisational learning process that Cyert and March (1963) describe: firms learn from past outcomes and adjust their aspiration levels and search strategies accordingly.</w:t>
      </w:r>
    </w:p>
    <w:p>
      <w:pPr>
        <w:spacing w:before="60" w:after="60"/>
      </w:pPr>
    </w:p>
    <w:p>
      <w:pPr>
        <w:spacing w:before="80" w:after="80" w:line="360" w:lineRule="auto"/>
        <w:jc w:val="both"/>
      </w:pPr>
      <w:r>
        <w:rPr>
          <w:rFonts w:ascii="Times New Roman" w:hAnsi="Times New Roman" w:eastAsia="Times New Roman" w:cs="Times New Roman"/>
          <w:sz w:val="24"/>
          <w:szCs w:val="24"/>
        </w:rPr>
        <w:t>A critical question in any LLM-based simulation is the extent to which LLM-generated decisions reflect genuine reasoning rather than surface-level pattern matching or hallucination. Several design choices in this project address this risk: (1) the action taxonomy constrains the output space to domain-valid choices, preventing physically impossible responses; (2) the JSON output format with explicit confidence scoring creates a structured accountability mechanism; (3) the deterministic StateResolver processes agent decisions through economically grounded rules, filtering out decisions that would be inconsistent with market clearing realities; and (4) the back-testing against historical events (Chapter 5) provides an empirical check on output plausibility. Taken together, these safeguards produce a simulation in which LLM reasoning is constrained, validated, and interpreted rather than taken at face value.</w:t>
      </w:r>
    </w:p>
    <w:p>
      <w:pPr>
        <w:pStyle w:val="3"/>
        <w:spacing w:before="300" w:after="160"/>
        <w:jc w:val="left"/>
        <w:outlineLvl w:val="1"/>
      </w:pPr>
      <w:r>
        <w:rPr>
          <w:rFonts w:ascii="Times New Roman" w:hAnsi="Times New Roman" w:eastAsia="Times New Roman" w:cs="Times New Roman"/>
          <w:b/>
          <w:bCs/>
          <w:sz w:val="28"/>
          <w:szCs w:val="28"/>
        </w:rPr>
        <w:t>2.7 Indian Manufacturing Sector: Steel and Trade Policy Context</w:t>
      </w:r>
    </w:p>
    <w:p>
      <w:pPr>
        <w:spacing w:before="80" w:after="80" w:line="360" w:lineRule="auto"/>
        <w:jc w:val="both"/>
      </w:pPr>
      <w:r>
        <w:rPr>
          <w:rFonts w:ascii="Times New Roman" w:hAnsi="Times New Roman" w:eastAsia="Times New Roman" w:cs="Times New Roman"/>
          <w:sz w:val="24"/>
          <w:szCs w:val="24"/>
        </w:rPr>
        <w:t>India’s steel sector is the second-largest in the world by production, with an annual output of approximately 144 million tonnes per annum (MTPA) in FY2024-25. Steel directly employs approximately 600,000 workers and supports an additional 2.5 million indirect jobs. The sector contributes approximately 2% to GDP, with the National Steel Policy targeting 300 MTPA capacity by 2030. Tata Steel Limited generated consolidated revenues of approximately ₹2,28,170 crore (USD 22 billion) in FY2024-25, with an EBITDA margin of 14.2%. The company operates 35.6 MTPA of crude steel capacity globally. India’s trade exposure to US steel tariffs has historical precedent: the US first imposed Section 232 tariffs on steel in 2018 at 25%, creating sustained pressure on Indian steel exports valued at approximately $1.6 billion annually. India’s trade policy response toolkit includes modification of import duties, anti-dumping and safeguard duties, PLI schemes, RoDTEP mechanisms, and WTO dispute resolution procedures.</w:t>
      </w:r>
    </w:p>
    <w:p>
      <w:pPr>
        <w:spacing w:before="60" w:after="60"/>
      </w:pPr>
    </w:p>
    <w:p>
      <w:pPr>
        <w:spacing w:before="80" w:after="80" w:line="360" w:lineRule="auto"/>
        <w:jc w:val="both"/>
      </w:pPr>
      <w:r>
        <w:rPr>
          <w:rFonts w:ascii="Times New Roman" w:hAnsi="Times New Roman" w:eastAsia="Times New Roman" w:cs="Times New Roman"/>
          <w:sz w:val="24"/>
          <w:szCs w:val="24"/>
        </w:rPr>
        <w:t>The structural characteristics of the Indian steel industry create specific vulnerabilities to trade policy shocks that are well-suited to ecosystem simulation. First, India’s coking coal import dependency — approximately 85% of coking coal requirements are imported from Australia, Mozambique, and Canada — creates a persistent input cost exposure to global commodity cycles and geopolitical disruptions in exporting countries. This dependency, embedded in the Tata Steel agent’s constraint profile, constrains its cost reduction options during margin pressure and makes input cost stability an acute strategic concern. Second, the geographic concentration of Indian steel capacity — with major integrated plants in Jharkhand (Jamshedpur), Odisha (Kalinganagar, Angul), and Chhattisgarh — creates logistical challenges for export market diversification when US volumes are displaced. Western coast port access, which is necessary for efficient ASEAN and Middle East export logistics, requires development investment that cannot be rapidly deployed in a shock response timeline.</w:t>
      </w:r>
    </w:p>
    <w:p>
      <w:pPr>
        <w:spacing w:before="60" w:after="60"/>
      </w:pPr>
    </w:p>
    <w:p>
      <w:pPr>
        <w:spacing w:before="80" w:after="80" w:line="360" w:lineRule="auto"/>
        <w:jc w:val="both"/>
      </w:pPr>
      <w:r>
        <w:rPr>
          <w:rFonts w:ascii="Times New Roman" w:hAnsi="Times New Roman" w:eastAsia="Times New Roman" w:cs="Times New Roman"/>
          <w:sz w:val="24"/>
          <w:szCs w:val="24"/>
        </w:rPr>
        <w:t>The competitive structure of the Indian steel industry is characterised by a small number of large integrated producers (Tata Steel, JSW Steel, JSPL, SAIL, ArcelorMittal Nippon Steel India) competing alongside numerous smaller secondary producers. This structure — an oligopoly at the integrated plant level, competitive at the secondary level — produces complex strategic interactions during trade shocks. Large integrated producers face the diversion challenge at scale (2+ million MT displacement for Tata Steel alone) and can negotiate directly with governments and regulators. Smaller secondary producers, with limited export exposure, may benefit from reduced domestic competition as integrated producers divert volumes abroad. This intra-industry dynamic, while not fully modelled in the current six-agent simulation, represents an important dimension for future research involving a more granular agent ecosystem.</w:t>
      </w:r>
    </w:p>
    <w:p>
      <w:pPr>
        <w:spacing w:before="60" w:after="60"/>
      </w:pPr>
    </w:p>
    <w:p>
      <w:pPr>
        <w:spacing w:before="80" w:after="80" w:line="360" w:lineRule="auto"/>
        <w:jc w:val="both"/>
      </w:pPr>
      <w:r>
        <w:rPr>
          <w:rFonts w:ascii="Times New Roman" w:hAnsi="Times New Roman" w:eastAsia="Times New Roman" w:cs="Times New Roman"/>
          <w:sz w:val="24"/>
          <w:szCs w:val="24"/>
        </w:rPr>
        <w:t>India’s trade policy architecture for the steel sector has evolved significantly over the past decade, creating an increasingly sophisticated policy toolkit. The Production-Linked Incentive (PLI) scheme for specialty steel, launched in 2021 with an outlay of ₹6,322 crore over five years, incentivises domestic production of high-value specialty steel grades to reduce import dependency. The RoDTEP (Remission of Duties and Taxes on Export Products) scheme provides exporters with reimbursement of central, state, and local taxes — improving export competitiveness at the margin. These existing policy mechanisms, embedded in the government agent’s profile as available tools, enable rapid policy activation in response to trade shocks without requiring new legislative authority — a critical operational advantage in a crisis response context.</w:t>
      </w:r>
    </w:p>
    <w:p>
      <w:pPr>
        <w:pStyle w:val="3"/>
        <w:spacing w:before="300" w:after="160"/>
        <w:jc w:val="left"/>
        <w:outlineLvl w:val="1"/>
      </w:pPr>
      <w:r>
        <w:rPr>
          <w:rFonts w:ascii="Times New Roman" w:hAnsi="Times New Roman" w:eastAsia="Times New Roman" w:cs="Times New Roman"/>
          <w:b/>
          <w:bCs/>
          <w:sz w:val="28"/>
          <w:szCs w:val="28"/>
        </w:rPr>
        <w:t>2.8 Research Gap</w:t>
      </w:r>
    </w:p>
    <w:p>
      <w:pPr>
        <w:spacing w:before="80" w:after="80" w:line="360" w:lineRule="auto"/>
        <w:jc w:val="both"/>
      </w:pPr>
      <w:r>
        <w:rPr>
          <w:rFonts w:ascii="Times New Roman" w:hAnsi="Times New Roman" w:eastAsia="Times New Roman" w:cs="Times New Roman"/>
          <w:sz w:val="24"/>
          <w:szCs w:val="24"/>
        </w:rPr>
        <w:t>The review of literature reveals a clear research gap that this project addresses. While Agent-Based Modelling is well-established for modelling complex systems, and while Large Language Models have demonstrated impressive capabilities as reasoning agents, the combination of these two methodologies — LLM-powered multi-agent simulation — applied to real business ecosystems with real financial data from publicly listed Indian companies, represents a novel contribution. No prior study has implemented a multi-agent LLM simulation of the Indian steel ecosystem’s response to trade policy shocks, making this project a first in its specific domain. The framework developed in this project occupies a productive middle ground: technically accessible through the LLM interface, domain-grounded through real financial data, and theoretically anchored through established strategic management frameworks.</w:t>
      </w:r>
    </w:p>
    <w:p>
      <w:pPr>
        <w:pStyle w:val="3"/>
        <w:spacing w:before="300" w:after="160"/>
        <w:jc w:val="left"/>
        <w:outlineLvl w:val="1"/>
      </w:pPr>
      <w:r>
        <w:rPr>
          <w:rFonts w:ascii="Times New Roman" w:hAnsi="Times New Roman" w:eastAsia="Times New Roman" w:cs="Times New Roman"/>
          <w:b/>
          <w:bCs/>
          <w:sz w:val="28"/>
          <w:szCs w:val="28"/>
        </w:rPr>
        <w:t>2.9 Porter’s Five Forces Framework: Application to Indian Steel</w:t>
      </w:r>
    </w:p>
    <w:p>
      <w:pPr>
        <w:spacing w:before="80" w:after="80" w:line="360" w:lineRule="auto"/>
        <w:jc w:val="both"/>
      </w:pPr>
      <w:r>
        <w:rPr>
          <w:rFonts w:ascii="Times New Roman" w:hAnsi="Times New Roman" w:eastAsia="Times New Roman" w:cs="Times New Roman"/>
          <w:sz w:val="24"/>
          <w:szCs w:val="24"/>
        </w:rPr>
        <w:t>Porter’s Five Forces framework (Porter 1980) provides a structured approach to analysing the competitive dynamics of an industry. The five forces — threat of new entrants, bargaining power of suppliers, bargaining power of buyers, threat of substitute products, and industry rivalry — collectively determine the long-run profitability of an industry. While the Five Forces model is essentially a static snapshot framework, it provides the theoretical baseline against which the dynamic changes induced by an external shock can be measured. This project uses Porter’s Five Forces to characterise the Indian steel industry’s pre-shock competitive position and to trace the force-level disruptions caused by the US tariff.</w:t>
      </w:r>
    </w:p>
    <w:p>
      <w:pPr>
        <w:spacing w:before="120" w:after="80"/>
        <w:jc w:val="center"/>
      </w:pPr>
      <w:r>
        <w:rPr>
          <w:rFonts w:ascii="Times New Roman" w:hAnsi="Times New Roman" w:eastAsia="Times New Roman" w:cs="Times New Roman"/>
          <w:b/>
          <w:bCs/>
          <w:i/>
          <w:iCs/>
          <w:sz w:val="24"/>
          <w:szCs w:val="24"/>
        </w:rPr>
        <w:t>Table 2.1: Porter’s Five Forces Analysis — Indian Steel Sector (Pre- and Post-Shock)</w:t>
      </w:r>
    </w:p>
    <w:tbl>
      <w:tblPr>
        <w:tblStyle w:val="9"/>
        <w:tblpPr w:leftFromText="180" w:rightFromText="180" w:vertAnchor="text" w:horzAnchor="page" w:tblpX="1575" w:tblpY="355"/>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500"/>
        <w:gridCol w:w="1600"/>
        <w:gridCol w:w="1600"/>
        <w:gridCol w:w="3660"/>
      </w:tblGrid>
      <w:tr>
        <w:trPr>
          <w:tblHeader/>
        </w:trPr>
        <w:tc>
          <w:tcPr>
            <w:tcW w:w="25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Force</w:t>
            </w:r>
          </w:p>
        </w:tc>
        <w:tc>
          <w:tcPr>
            <w:tcW w:w="16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Pre-Shock Intensity</w:t>
            </w:r>
          </w:p>
        </w:tc>
        <w:tc>
          <w:tcPr>
            <w:tcW w:w="16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Post-Shock Intensity</w:t>
            </w:r>
          </w:p>
        </w:tc>
        <w:tc>
          <w:tcPr>
            <w:tcW w:w="36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Key Driver of Change</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Industry Rivalry</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High — 20+ major producers; price competition on commodity grades</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Very High — surplus capacity as US volumes diverted to Asian markets drives price compression</w:t>
            </w:r>
          </w:p>
        </w:tc>
        <w:tc>
          <w:tcPr>
            <w:tcW w:w="3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2+ MT diverted from US, flooding ASEAN/EU markets</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Threat of New Entrants</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Low-Medium — high capital intensity; government approvals; raw material access barriers</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Low — tariff shock reduces near-term ROI, discouraging new capacity</w:t>
            </w:r>
          </w:p>
        </w:tc>
        <w:tc>
          <w:tcPr>
            <w:tcW w:w="3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Margin compression reduces investment attractiveness</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Bargaining Power of Buyers</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Medium — large industrial buyers have alternatives; spot and contract pricing</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High — buyers gain leverage as diverted supply creates domestic surplus; consumer stockpiling becomes viable</w:t>
            </w:r>
          </w:p>
        </w:tc>
        <w:tc>
          <w:tcPr>
            <w:tcW w:w="3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Domestic HRC price softening strengthens buyer position</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Bargaining Power of Suppliers</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Medium — iron ore partially captive (65%); coking coal import-dependent (85%)</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Low-Medium — iron ore suppliers face demand softening and seek long-term contracts at stable prices</w:t>
            </w:r>
          </w:p>
        </w:tc>
        <w:tc>
          <w:tcPr>
            <w:tcW w:w="3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NMDC and global suppliers compete for Tata Steel contracts</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Threat of Substitutes</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Low — steel has limited substitution in structural applications; aluminium in auto is niche</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Low — substitution threat unchanged; tariff does not alter material science economics</w:t>
            </w:r>
          </w:p>
        </w:tc>
        <w:tc>
          <w:tcPr>
            <w:tcW w:w="3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No material change from tariff shock</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The post-shock Five Forces analysis reveals that industry rivalry intensifies most dramatically, while buyer power increases significantly as domestic supply becomes more abundant due to trade diversion. This dynamic — the domestic consumer benefiting from export displacement — is a second-order effect that purely single-actor analysis of Tata Steel’s response would not surface. The simulation captures this through the Industrial Steel Consumer agent’s pivot from adaptive sourcing to opportunistic stockpiling in Round 2.</w:t>
      </w:r>
    </w:p>
    <w:p>
      <w:pPr>
        <w:spacing w:before="60" w:after="60"/>
      </w:pPr>
    </w:p>
    <w:p>
      <w:pPr>
        <w:spacing w:before="80" w:after="80" w:line="360" w:lineRule="auto"/>
        <w:jc w:val="both"/>
      </w:pPr>
      <w:r>
        <w:rPr>
          <w:rFonts w:ascii="Times New Roman" w:hAnsi="Times New Roman" w:eastAsia="Times New Roman" w:cs="Times New Roman"/>
          <w:sz w:val="24"/>
          <w:szCs w:val="24"/>
        </w:rPr>
        <w:t>The Five Forces framework also illuminates why iron ore suppliers’ bargaining power declines following the shock. When Tata Steel faces margin pressure on 2.1 million MT of diverted exports, its negotiating position in upstream procurement strengthens — as the simulation reflects through the Iron Ore Supplier agent’s proactive offer of long-term contracts with stable pricing, a strategic posture designed to preserve the relationship rather than maximise immediate margin.</w:t>
      </w:r>
    </w:p>
    <w:p>
      <w:pPr>
        <w:pStyle w:val="3"/>
        <w:spacing w:before="300" w:after="160"/>
        <w:jc w:val="left"/>
        <w:outlineLvl w:val="1"/>
      </w:pPr>
      <w:r>
        <w:rPr>
          <w:rFonts w:ascii="Times New Roman" w:hAnsi="Times New Roman" w:eastAsia="Times New Roman" w:cs="Times New Roman"/>
          <w:b/>
          <w:bCs/>
          <w:sz w:val="28"/>
          <w:szCs w:val="28"/>
        </w:rPr>
        <w:t>2.10 Porter’s Diamond Model and National Competitive Advantage</w:t>
      </w:r>
    </w:p>
    <w:p>
      <w:pPr>
        <w:spacing w:before="80" w:after="80" w:line="360" w:lineRule="auto"/>
        <w:jc w:val="both"/>
      </w:pPr>
      <w:r>
        <w:rPr>
          <w:rFonts w:ascii="Times New Roman" w:hAnsi="Times New Roman" w:eastAsia="Times New Roman" w:cs="Times New Roman"/>
          <w:sz w:val="24"/>
          <w:szCs w:val="24"/>
        </w:rPr>
        <w:t>Porter’s Diamond model (Porter 1990) identifies four determinants of national competitive advantage: factor conditions (production inputs), demand conditions (domestic market sophistication), related and supporting industries, and firm strategy, structure, and rivalry. The model proposes that these four determinants form an interdependent system — the ‘diamond’ — in which each element reinforces or undermines the others. A fifth element, government policy, acts as a catalyst or impediment across all four.</w:t>
      </w:r>
    </w:p>
    <w:p>
      <w:pPr>
        <w:spacing w:before="60" w:after="60"/>
      </w:pPr>
    </w:p>
    <w:p>
      <w:pPr>
        <w:spacing w:before="80" w:after="80" w:line="360" w:lineRule="auto"/>
        <w:jc w:val="both"/>
      </w:pPr>
      <w:r>
        <w:rPr>
          <w:rFonts w:ascii="Times New Roman" w:hAnsi="Times New Roman" w:eastAsia="Times New Roman" w:cs="Times New Roman"/>
          <w:sz w:val="24"/>
          <w:szCs w:val="24"/>
        </w:rPr>
        <w:t>Applied to India’s steel industry, the Diamond model provides useful analytical structure. India’s factor conditions are strong: captive iron ore reserves (among the world’s largest), a large and relatively low-cost skilled engineering workforce, and government capital support through PLI schemes. Domestic demand conditions are equally favourable: India’s construction, automotive, and infrastructure investment cycle generates robust domestic demand, creating a sophisticated home market for steel products. Related industries — coal, mining, engineering, logistics — are well-developed, and the domestic rivalry among Tata Steel, JSW Steel, JSPL, and SAIL is intense, driving productivity and cost efficiency.</w:t>
      </w:r>
    </w:p>
    <w:p>
      <w:pPr>
        <w:spacing w:before="60" w:after="60"/>
      </w:pPr>
    </w:p>
    <w:p>
      <w:pPr>
        <w:spacing w:before="80" w:after="80" w:line="360" w:lineRule="auto"/>
        <w:jc w:val="both"/>
      </w:pPr>
      <w:r>
        <w:rPr>
          <w:rFonts w:ascii="Times New Roman" w:hAnsi="Times New Roman" w:eastAsia="Times New Roman" w:cs="Times New Roman"/>
          <w:sz w:val="24"/>
          <w:szCs w:val="24"/>
        </w:rPr>
        <w:t>The US tariff shock tests the resilience of India’s diamond primarily through the demand conditions dimension: the loss of US export demand must be absorbed by redirecting to alternative demand pools in ASEAN, EU, and the Middle East. The simulation reflects this through Tata Steel’s export diversion strategy, which leverages existing international commercial relationships — part of the firm strategy and rivalry dimension of the diamond — to execute a rapid geographic reallocation. The government’s policy response (WTO challenge, PLI support) is modelled in the simulation as a direct enabler of corporate adaptation, consistent with Porter’s view of government as diamond catalyst rather than direct competitive actor.</w:t>
      </w:r>
    </w:p>
    <w:p>
      <w:pPr>
        <w:pStyle w:val="3"/>
        <w:spacing w:before="300" w:after="160"/>
        <w:jc w:val="left"/>
        <w:outlineLvl w:val="1"/>
      </w:pPr>
      <w:r>
        <w:rPr>
          <w:rFonts w:ascii="Times New Roman" w:hAnsi="Times New Roman" w:eastAsia="Times New Roman" w:cs="Times New Roman"/>
          <w:b/>
          <w:bCs/>
          <w:sz w:val="28"/>
          <w:szCs w:val="28"/>
        </w:rPr>
        <w:t>2.11 Resource-Based View and Dynamic Capabilities</w:t>
      </w:r>
    </w:p>
    <w:p>
      <w:pPr>
        <w:spacing w:before="80" w:after="80" w:line="360" w:lineRule="auto"/>
        <w:jc w:val="both"/>
      </w:pPr>
      <w:r>
        <w:rPr>
          <w:rFonts w:ascii="Times New Roman" w:hAnsi="Times New Roman" w:eastAsia="Times New Roman" w:cs="Times New Roman"/>
          <w:sz w:val="24"/>
          <w:szCs w:val="24"/>
        </w:rPr>
        <w:t>The Resource-Based View (RBV) of the firm, developed by Barney (1991) following Wernerfelt (1984), proposes that sustained competitive advantage derives from firm resources that are valuable, rare, inimitable, and non-substitutable (the VRIN framework). Unlike the external-focus of Porter’s Five Forces, RBV directs analytical attention to the firm’s internal resource endowment. Barney’s framework implies that firms with superior resource bundles will outperform competitors even in adverse external environments — because their resources enable more effective adaptation.</w:t>
      </w:r>
    </w:p>
    <w:p>
      <w:pPr>
        <w:spacing w:before="60" w:after="60"/>
      </w:pPr>
    </w:p>
    <w:p>
      <w:pPr>
        <w:spacing w:before="80" w:after="80" w:line="360" w:lineRule="auto"/>
        <w:jc w:val="both"/>
      </w:pPr>
      <w:r>
        <w:rPr>
          <w:rFonts w:ascii="Times New Roman" w:hAnsi="Times New Roman" w:eastAsia="Times New Roman" w:cs="Times New Roman"/>
          <w:sz w:val="24"/>
          <w:szCs w:val="24"/>
        </w:rPr>
        <w:t>Applied to Tata Steel’s position in the simulation, the RBV lens highlights three resource clusters that enable its superior shock adaptation: (1) its captive iron ore mining operations (65% self-sufficiency), which insulate input costs from commodity market volatility; (2) its globally diversified operational footprint (India, UK, Netherlands), which provides alternative delivery platforms for displaced export volumes; and (3) its USD 4.2 billion cash reserve, which gives it financial staying power through the shock period. Each of these represents a VRIN resource — valuable (directly enables shock adaptation), rare (not matched by smaller domestic competitors), difficult to imitate (capital-intensive, built over decades), and non-substitutable (no equivalent alternative input security mechanism).</w:t>
      </w:r>
    </w:p>
    <w:p>
      <w:pPr>
        <w:spacing w:before="60" w:after="60"/>
      </w:pPr>
    </w:p>
    <w:p>
      <w:pPr>
        <w:spacing w:before="80" w:after="80" w:line="360" w:lineRule="auto"/>
        <w:jc w:val="both"/>
      </w:pPr>
      <w:r>
        <w:rPr>
          <w:rFonts w:ascii="Times New Roman" w:hAnsi="Times New Roman" w:eastAsia="Times New Roman" w:cs="Times New Roman"/>
          <w:sz w:val="24"/>
          <w:szCs w:val="24"/>
        </w:rPr>
        <w:t>Teece, Pisano, and Shuen (1997) extended RBV with the concept of Dynamic Capabilities — the firm’s ability to integrate, build, and reconfigure internal and external competencies to address rapidly changing environments. Dynamic capabilities are particularly relevant to this project because the simulation models a rapid adaptation scenario rather than a static competitive positioning. Tata Steel’s ability to execute export diversion across three rounds — increasing confidence from 0.78 to 0.87 — is a manifestation of dynamic capability: the organisational capacity to reconfigure export routes, renegotiate commercial contracts, and deploy financial hedges under severe time pressure.</w:t>
      </w:r>
    </w:p>
    <w:p>
      <w:pPr>
        <w:pStyle w:val="3"/>
        <w:spacing w:before="300" w:after="160"/>
        <w:jc w:val="left"/>
        <w:outlineLvl w:val="1"/>
      </w:pPr>
      <w:r>
        <w:rPr>
          <w:rFonts w:ascii="Times New Roman" w:hAnsi="Times New Roman" w:eastAsia="Times New Roman" w:cs="Times New Roman"/>
          <w:b/>
          <w:bCs/>
          <w:sz w:val="28"/>
          <w:szCs w:val="28"/>
        </w:rPr>
        <w:t>2.12 PESTLE Analysis: Framework and Limitations in Dynamic Contexts</w:t>
      </w:r>
    </w:p>
    <w:p>
      <w:pPr>
        <w:spacing w:before="80" w:after="80" w:line="360" w:lineRule="auto"/>
        <w:jc w:val="both"/>
      </w:pPr>
      <w:r>
        <w:rPr>
          <w:rFonts w:ascii="Times New Roman" w:hAnsi="Times New Roman" w:eastAsia="Times New Roman" w:cs="Times New Roman"/>
          <w:sz w:val="24"/>
          <w:szCs w:val="24"/>
        </w:rPr>
        <w:t>PESTLE analysis (Political, Economic, Social, Technological, Legal, Environmental) is a widely used environmental scanning framework that organises macro-level factors affecting an organisation into six categorical dimensions. Its utility lies in ensuring comprehensive identification of potential external forces; its limitation lies in its static, categorical structure, which does not model causal relationships between factors or capture dynamic feedback loops between actors responding to the same environmental change.</w:t>
      </w:r>
    </w:p>
    <w:p>
      <w:pPr>
        <w:spacing w:before="60" w:after="60"/>
      </w:pPr>
    </w:p>
    <w:p>
      <w:pPr>
        <w:spacing w:before="80" w:after="80" w:line="360" w:lineRule="auto"/>
        <w:jc w:val="both"/>
      </w:pPr>
      <w:r>
        <w:rPr>
          <w:rFonts w:ascii="Times New Roman" w:hAnsi="Times New Roman" w:eastAsia="Times New Roman" w:cs="Times New Roman"/>
          <w:sz w:val="24"/>
          <w:szCs w:val="24"/>
        </w:rPr>
        <w:t>Applied to the US tariff shock in the context of this study, a PESTLE analysis produces the following categorisation:</w:t>
      </w:r>
    </w:p>
    <w:p>
      <w:pPr>
        <w:spacing w:before="120" w:after="80"/>
        <w:jc w:val="center"/>
      </w:pPr>
      <w:r>
        <w:rPr>
          <w:rFonts w:ascii="Times New Roman" w:hAnsi="Times New Roman" w:eastAsia="Times New Roman" w:cs="Times New Roman"/>
          <w:b/>
          <w:bCs/>
          <w:i/>
          <w:iCs/>
          <w:sz w:val="24"/>
          <w:szCs w:val="24"/>
        </w:rPr>
        <w:t>Table 2.2: PESTLE Analysis of the US Section 232 Tariff Shock on Indian Steel</w:t>
      </w:r>
    </w:p>
    <w:tbl>
      <w:tblPr>
        <w:tblStyle w:val="9"/>
        <w:tblpPr w:leftFromText="180" w:rightFromText="180" w:vertAnchor="text" w:horzAnchor="page" w:tblpX="1668" w:tblpY="344"/>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200"/>
        <w:gridCol w:w="2400"/>
        <w:gridCol w:w="4760"/>
      </w:tblGrid>
      <w:tr>
        <w:trPr>
          <w:tblHeader/>
        </w:trPr>
        <w:tc>
          <w:tcPr>
            <w:tcW w:w="2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PESTLE Dimension</w:t>
            </w:r>
          </w:p>
        </w:tc>
        <w:tc>
          <w:tcPr>
            <w:tcW w:w="2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Factor</w:t>
            </w:r>
          </w:p>
        </w:tc>
        <w:tc>
          <w:tcPr>
            <w:tcW w:w="47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Impact on Indian Steel Ecosystem</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Political</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US Section 232 national security justification; India-US bilateral trade tensions</w:t>
            </w:r>
          </w:p>
        </w:tc>
        <w:tc>
          <w:tcPr>
            <w:tcW w:w="4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Forces India into diplomatic engagement and WTO challenge; elevates domestic political pressure on Government</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Economic</w:t>
            </w:r>
          </w:p>
        </w:tc>
        <w:tc>
          <w:tcPr>
            <w:tcW w:w="2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USD 1.8B annual trade disruption; HRC price index decline (0.72); margin compression</w:t>
            </w:r>
          </w:p>
        </w:tc>
        <w:tc>
          <w:tcPr>
            <w:tcW w:w="4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Direct revenue loss for Indian steelmakers; secondary price compression in alternative markets</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Social</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6 lakh direct steel jobs; 25 lakh indirect employment at risk</w:t>
            </w:r>
          </w:p>
        </w:tc>
        <w:tc>
          <w:tcPr>
            <w:tcW w:w="4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Political urgency for government support; domestic employment protection imperative</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Technological</w:t>
            </w:r>
          </w:p>
        </w:tc>
        <w:tc>
          <w:tcPr>
            <w:tcW w:w="2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Production flexibility limited by integrated plant configurations; grade-specific export capability</w:t>
            </w:r>
          </w:p>
        </w:tc>
        <w:tc>
          <w:tcPr>
            <w:tcW w:w="4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Limited short-term technical adaptation; re-routing requires commercial not technological change</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Legal</w:t>
            </w:r>
          </w:p>
        </w:tc>
        <w:tc>
          <w:tcPr>
            <w:tcW w:w="2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WTO Article XIX safeguard rules; DGTR investigation mandate; Section 232 dispute procedures</w:t>
            </w:r>
          </w:p>
        </w:tc>
        <w:tc>
          <w:tcPr>
            <w:tcW w:w="4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WTO dispute mechanics and DGTR investigation timelines define the regulatory response horizon</w:t>
            </w:r>
          </w:p>
        </w:tc>
      </w:tr>
      <w:tr>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Environmental</w:t>
            </w:r>
          </w:p>
        </w:tc>
        <w:tc>
          <w:tcPr>
            <w:tcW w:w="2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Steel production emissions; EU Green Deal carbon border adjustment implications</w:t>
            </w:r>
          </w:p>
        </w:tc>
        <w:tc>
          <w:tcPr>
            <w:tcW w:w="4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European re-routing faces growing CBAM headwinds; environmental compliance costs in EU</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This PESTLE categorisation, while useful for issue identification, cannot answer the critical strategic question: how do all six actors respond simultaneously, and how do their responses interact? The Government’s WTO challenge (Legal/Political dimensions) directly affects Tata Steel’s strategic confidence (Economic dimension), which in turn affects the Iron Ore Supplier’s contract negotiation posture (Economic dimension). PESTLE analysis identifies the forces; multi-agent simulation reveals how those forces interact through ecosystem dynamics. This interplay between static environmental scanning and dynamic simulation is the theoretical contribution at the heart of this project.</w:t>
      </w:r>
    </w:p>
    <w:p>
      <w:pPr>
        <w:pStyle w:val="3"/>
        <w:spacing w:before="300" w:after="160"/>
        <w:jc w:val="left"/>
        <w:outlineLvl w:val="1"/>
      </w:pPr>
      <w:r>
        <w:rPr>
          <w:rFonts w:ascii="Times New Roman" w:hAnsi="Times New Roman" w:eastAsia="Times New Roman" w:cs="Times New Roman"/>
          <w:b/>
          <w:bCs/>
          <w:sz w:val="28"/>
          <w:szCs w:val="28"/>
        </w:rPr>
        <w:t>2.13 Transaction Cost Economics</w:t>
      </w:r>
    </w:p>
    <w:p>
      <w:pPr>
        <w:spacing w:before="80" w:after="80" w:line="360" w:lineRule="auto"/>
        <w:jc w:val="both"/>
      </w:pPr>
      <w:r>
        <w:rPr>
          <w:rFonts w:ascii="Times New Roman" w:hAnsi="Times New Roman" w:eastAsia="Times New Roman" w:cs="Times New Roman"/>
          <w:sz w:val="24"/>
          <w:szCs w:val="24"/>
        </w:rPr>
        <w:t>Transaction Cost Economics (TCE), developed by Williamson (1975, 1985) building on Coase (1937), proposes that economic organisation is governed by the minimisation of transaction costs — the costs of specifying, negotiating, monitoring, and enforcing economic exchanges. TCE identifies three key dimensions of transactions that determine their governance structure: asset specificity (the degree to which investments lose value when moved to alternative uses), uncertainty, and frequency. High asset specificity combined with high uncertainty is the condition under which hierarchical governance (within-firm organisation) is preferred over market contracting.</w:t>
      </w:r>
    </w:p>
    <w:p>
      <w:pPr>
        <w:spacing w:before="60" w:after="60"/>
      </w:pPr>
    </w:p>
    <w:p>
      <w:pPr>
        <w:spacing w:before="80" w:after="80" w:line="360" w:lineRule="auto"/>
        <w:jc w:val="both"/>
      </w:pPr>
      <w:r>
        <w:rPr>
          <w:rFonts w:ascii="Times New Roman" w:hAnsi="Times New Roman" w:eastAsia="Times New Roman" w:cs="Times New Roman"/>
          <w:sz w:val="24"/>
          <w:szCs w:val="24"/>
        </w:rPr>
        <w:t>TCE has direct application to the iron ore supply relationships in this simulation. Tata Steel’s captive iron ore mining (65% self-sufficiency) represents the internalisation of a highly asset-specific, high-volume transaction — consistent with TCE predictions. The external 35% iron ore procurement is conducted through long-term contracts rather than spot markets, also consistent with TCE: asset-specific investments in mine-to-mill logistics justify relational contracting over pure price-based market procurement. Following the US tariff shock, the Iron Ore Supplier agent’s shift from price-holding to offering three-year indexed contracts (Round 2) reflects TCE-consistent behaviour: when demand uncertainty increases, suppliers seek relational governance (long-term contracts) to protect asset-specific investments in supply chain capacity.</w:t>
      </w:r>
    </w:p>
    <w:p>
      <w:pPr>
        <w:pStyle w:val="3"/>
        <w:spacing w:before="300" w:after="160"/>
        <w:jc w:val="left"/>
        <w:outlineLvl w:val="1"/>
      </w:pPr>
      <w:r>
        <w:rPr>
          <w:rFonts w:ascii="Times New Roman" w:hAnsi="Times New Roman" w:eastAsia="Times New Roman" w:cs="Times New Roman"/>
          <w:b/>
          <w:bCs/>
          <w:sz w:val="28"/>
          <w:szCs w:val="28"/>
        </w:rPr>
        <w:t>2.14 Behavioural Theory of the Firm</w:t>
      </w:r>
    </w:p>
    <w:p>
      <w:pPr>
        <w:spacing w:before="80" w:after="80" w:line="360" w:lineRule="auto"/>
        <w:jc w:val="both"/>
      </w:pPr>
      <w:r>
        <w:rPr>
          <w:rFonts w:ascii="Times New Roman" w:hAnsi="Times New Roman" w:eastAsia="Times New Roman" w:cs="Times New Roman"/>
          <w:sz w:val="24"/>
          <w:szCs w:val="24"/>
        </w:rPr>
        <w:t>The Behavioural Theory of the Firm, developed by Cyert and March (1963), departs from the neoclassical assumption of perfectly rational profit maximisation. The theory proposes that firms are coalitions of participants with heterogeneous objectives, operating under bounded rationality (Simon 1955) — they seek satisficing rather than optimal solutions, and their decision-making is shaped by organisational routines, aspiration levels, and problemistic search (searching for solutions only when performance falls below aspiration levels).</w:t>
      </w:r>
    </w:p>
    <w:p>
      <w:pPr>
        <w:spacing w:before="60" w:after="60"/>
      </w:pPr>
    </w:p>
    <w:p>
      <w:pPr>
        <w:spacing w:before="80" w:after="80" w:line="360" w:lineRule="auto"/>
        <w:jc w:val="both"/>
      </w:pPr>
      <w:r>
        <w:rPr>
          <w:rFonts w:ascii="Times New Roman" w:hAnsi="Times New Roman" w:eastAsia="Times New Roman" w:cs="Times New Roman"/>
          <w:sz w:val="24"/>
          <w:szCs w:val="24"/>
        </w:rPr>
        <w:t>The LLM agent design in this project is theoretically consistent with bounded rationality and satisficing. Agents are given realistic constraints that prevent omniscient optimisation: information asymmetry (VisibilityFilter prevents full knowledge of other agents’ states), role-specific objectives that may conflict, and financial constraints that limit the action space. The LLM’s generation of strategic decisions under these constraints produces behaviours consistent with Cyert and March’s model of real-world organisational decision-making — including the Industrial Consumer agent’s late-simulation shift from market adaptation to political lobbying (requesting government subsidies in Round 3), which reflects the kind of aspiration-level adjustment and political problem-solving that behaviourist theory predicts.</w:t>
      </w:r>
    </w:p>
    <w:p>
      <w:pPr>
        <w:spacing w:before="60" w:after="60"/>
      </w:pPr>
    </w:p>
    <w:p>
      <w:pPr>
        <w:spacing w:before="80" w:after="80" w:line="360" w:lineRule="auto"/>
        <w:jc w:val="both"/>
      </w:pPr>
      <w:r>
        <w:rPr>
          <w:rFonts w:ascii="Times New Roman" w:hAnsi="Times New Roman" w:eastAsia="Times New Roman" w:cs="Times New Roman"/>
          <w:sz w:val="24"/>
          <w:szCs w:val="24"/>
        </w:rPr>
        <w:t>Kahneman and Tversky’s (1979) Prospect Theory, an extension of bounded rationality to individual decision-making under risk, provides additional theoretical grounding for the FII agent’s behaviour. Prospect Theory demonstrates that decision-makers are loss-averse — the pain of losses is felt more intensely than the pleasure of equivalent gains. The FII agent’s rapid and large-scale divestment in Round 1 (USD 1.7 billion) and return to selling in Round 3 despite evidence of improving corporate adaptation reflects this asymmetric loss aversion: negative information about trade shocks triggers faster and larger portfolio adjustments than positive information about corporate recovery.</w:t>
      </w:r>
    </w:p>
    <w:p>
      <w:pPr>
        <w:pStyle w:val="3"/>
        <w:spacing w:before="300" w:after="160"/>
        <w:jc w:val="left"/>
        <w:outlineLvl w:val="1"/>
        <w:rPr>
          <w:rFonts w:ascii="Times New Roman" w:hAnsi="Times New Roman" w:eastAsia="Times New Roman" w:cs="Times New Roman"/>
          <w:b/>
          <w:bCs/>
          <w:sz w:val="28"/>
          <w:szCs w:val="28"/>
        </w:rPr>
      </w:pPr>
    </w:p>
    <w:p>
      <w:pPr>
        <w:pStyle w:val="3"/>
        <w:spacing w:before="300" w:after="160"/>
        <w:jc w:val="left"/>
        <w:outlineLvl w:val="1"/>
      </w:pPr>
      <w:r>
        <w:rPr>
          <w:rFonts w:ascii="Times New Roman" w:hAnsi="Times New Roman" w:eastAsia="Times New Roman" w:cs="Times New Roman"/>
          <w:b/>
          <w:bCs/>
          <w:sz w:val="28"/>
          <w:szCs w:val="28"/>
        </w:rPr>
        <w:t>2.15 Institutional Theory and Regulatory Environments</w:t>
      </w:r>
    </w:p>
    <w:p>
      <w:pPr>
        <w:spacing w:before="80" w:after="80" w:line="360" w:lineRule="auto"/>
        <w:jc w:val="both"/>
      </w:pPr>
      <w:r>
        <w:rPr>
          <w:rFonts w:ascii="Times New Roman" w:hAnsi="Times New Roman" w:eastAsia="Times New Roman" w:cs="Times New Roman"/>
          <w:sz w:val="24"/>
          <w:szCs w:val="24"/>
        </w:rPr>
        <w:t>Institutional Theory, developed by DiMaggio and Powell (1983) and Scott (2001), proposes that organisations are shaped not only by competitive market pressures but by institutional environments — the rules, norms, and cognitive frameworks that define legitimate and acceptable behaviour in a given field. DiMaggio and Powell identified three mechanisms of institutional isomorphism: coercive (government regulation), normative (professional standards), and mimetic (imitation of successful peers under uncertainty).</w:t>
      </w:r>
    </w:p>
    <w:p>
      <w:pPr>
        <w:spacing w:before="60" w:after="60"/>
      </w:pPr>
    </w:p>
    <w:p>
      <w:pPr>
        <w:spacing w:before="80" w:after="80" w:line="360" w:lineRule="auto"/>
        <w:jc w:val="both"/>
      </w:pPr>
      <w:r>
        <w:rPr>
          <w:rFonts w:ascii="Times New Roman" w:hAnsi="Times New Roman" w:eastAsia="Times New Roman" w:cs="Times New Roman"/>
          <w:sz w:val="24"/>
          <w:szCs w:val="24"/>
        </w:rPr>
        <w:t>Institutional theory is directly relevant to the DGTR agent’s behaviour in this simulation. The DGTR’s investigation process is governed by WTO-mandated procedural rules (coercive isomorphism) — its investigation must follow Article XIX procedures, its provisional duty must be based on documented evidence of critical circumstances, and its final determination must be communicated within statutory timelines. These institutional constraints define the DGTR’s action space more rigidly than any other agent in the simulation, explaining why its confidence trajectory is the most consistent (steadily increasing as procedural progress is made) and why it cannot take protective action in Round 1 when the shock is freshest. The institutional framework both enables and constrains regulatory action.</w:t>
      </w:r>
    </w:p>
    <w:p>
      <w:pPr>
        <w:spacing w:before="60" w:after="60"/>
      </w:pPr>
    </w:p>
    <w:p>
      <w:pPr>
        <w:spacing w:before="80" w:after="80" w:line="360" w:lineRule="auto"/>
        <w:jc w:val="both"/>
      </w:pPr>
      <w:r>
        <w:rPr>
          <w:rFonts w:ascii="Times New Roman" w:hAnsi="Times New Roman" w:eastAsia="Times New Roman" w:cs="Times New Roman"/>
          <w:sz w:val="24"/>
          <w:szCs w:val="24"/>
        </w:rPr>
        <w:t>Mimetic isomorphism is observable in the Government of India agent’s WTO challenge strategy: facing an unprecedented 50% tariff, the government follows the institutional script established by India’s 2018 WTO DS518 dispute challenge, replicating a previously legitimate response template. This institutional memory — encoded in the government agent’s profile through historical policy data — produces the WTO challenge decision in Round 1 with a confidence of 0.72, reflecting both strategic clarity (the template exists) and residual uncertainty (the political dynamics may differ this time).</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CHAPTER 3
RESEARCH METHODOLOGY</w:t>
      </w:r>
    </w:p>
    <w:p>
      <w:pPr>
        <w:pStyle w:val="3"/>
        <w:spacing w:before="300" w:after="160"/>
        <w:jc w:val="left"/>
        <w:outlineLvl w:val="1"/>
      </w:pPr>
      <w:r>
        <w:rPr>
          <w:rFonts w:ascii="Times New Roman" w:hAnsi="Times New Roman" w:eastAsia="Times New Roman" w:cs="Times New Roman"/>
          <w:b/>
          <w:bCs/>
          <w:sz w:val="28"/>
          <w:szCs w:val="28"/>
        </w:rPr>
        <w:t>3.1 Research Philosophy</w:t>
      </w:r>
    </w:p>
    <w:p>
      <w:pPr>
        <w:spacing w:before="80" w:after="80" w:line="360" w:lineRule="auto"/>
        <w:jc w:val="both"/>
      </w:pPr>
      <w:r>
        <w:rPr>
          <w:rFonts w:ascii="Times New Roman" w:hAnsi="Times New Roman" w:eastAsia="Times New Roman" w:cs="Times New Roman"/>
          <w:sz w:val="24"/>
          <w:szCs w:val="24"/>
        </w:rPr>
        <w:t>This project adopts a pragmatist research philosophy. Pragmatism holds that research questions and methods should be chosen for their utility in generating actionable insights, rather than for their adherence to a single ontological or epistemological tradition. This makes pragmatism the appropriate philosophical foundation for a project that is simultaneously exploratory (investigating an underexplored methodology), descriptive (documenting the outputs of a simulation run), and applied (generating strategic insights for real-world decision-makers). The ontological stance is a moderate constructivism: the simulation models of business ecosystems constructed in this project are representations of real systems, not the systems themselves.</w:t>
      </w:r>
    </w:p>
    <w:p>
      <w:pPr>
        <w:spacing w:before="60" w:after="60"/>
      </w:pPr>
    </w:p>
    <w:p>
      <w:pPr>
        <w:spacing w:before="80" w:after="80" w:line="360" w:lineRule="auto"/>
        <w:jc w:val="both"/>
      </w:pPr>
      <w:r>
        <w:rPr>
          <w:rFonts w:ascii="Times New Roman" w:hAnsi="Times New Roman" w:eastAsia="Times New Roman" w:cs="Times New Roman"/>
          <w:sz w:val="24"/>
          <w:szCs w:val="24"/>
        </w:rPr>
        <w:t>Pragmatism as a research philosophy has a distinguished lineage in social science and management research. Originating with Dewey (1925), James (1907), and Peirce (1878), pragmatism was revived in management research by Rorty (1991) and Tashakkori and Teddlie (1998), who positioned it as the philosophical foundation for mixed-methods research. In the context of this project, pragmatism resolves the tension between qualitative LLM reasoning outputs and quantitative financial metrics by treating both as valid data forms whose combination produces more complete understanding than either alone. The project is neither purely positivist (seeking law-like generalisations about business ecosystems) nor purely interpretivist (seeking subjective meaning from organisational actors); it occupies the pragmatist middle ground of using whatever methodological combination best addresses the research question.</w:t>
      </w:r>
    </w:p>
    <w:p>
      <w:pPr>
        <w:spacing w:before="60" w:after="60"/>
      </w:pPr>
    </w:p>
    <w:p>
      <w:pPr>
        <w:spacing w:before="80" w:after="80" w:line="360" w:lineRule="auto"/>
        <w:jc w:val="both"/>
      </w:pPr>
      <w:r>
        <w:rPr>
          <w:rFonts w:ascii="Times New Roman" w:hAnsi="Times New Roman" w:eastAsia="Times New Roman" w:cs="Times New Roman"/>
          <w:sz w:val="24"/>
          <w:szCs w:val="24"/>
        </w:rPr>
        <w:t>The epistemological stance of this project is abductive reasoning — the inference to the best explanation. Abduction begins with an observed phenomenon (the multi-actor ecosystem dynamics produced by the simulation) and reasons backward to the theoretical explanations that best account for the observed pattern. This contrasts with deductive reasoning (testing known theories against data) and inductive reasoning (deriving theories from accumulated observations). Abduction is appropriate here because the project is in an exploratory phase: it seeks to demonstrate what LLM multi-agent simulation can produce and to explain those outputs through established theory, rather than testing pre-specified hypotheses against a large dataset.</w:t>
      </w:r>
    </w:p>
    <w:p>
      <w:pPr>
        <w:pStyle w:val="3"/>
        <w:spacing w:before="300" w:after="160"/>
        <w:jc w:val="left"/>
        <w:outlineLvl w:val="1"/>
        <w:rPr>
          <w:rFonts w:ascii="Times New Roman" w:hAnsi="Times New Roman" w:eastAsia="Times New Roman" w:cs="Times New Roman"/>
          <w:b/>
          <w:bCs/>
          <w:sz w:val="28"/>
          <w:szCs w:val="28"/>
        </w:rPr>
      </w:pPr>
    </w:p>
    <w:p>
      <w:pPr>
        <w:pStyle w:val="3"/>
        <w:spacing w:before="300" w:after="160"/>
        <w:jc w:val="left"/>
        <w:outlineLvl w:val="1"/>
      </w:pPr>
      <w:r>
        <w:rPr>
          <w:rFonts w:ascii="Times New Roman" w:hAnsi="Times New Roman" w:eastAsia="Times New Roman" w:cs="Times New Roman"/>
          <w:b/>
          <w:bCs/>
          <w:sz w:val="28"/>
          <w:szCs w:val="28"/>
        </w:rPr>
        <w:t>3.2 Research Design</w:t>
      </w:r>
    </w:p>
    <w:p>
      <w:pPr>
        <w:spacing w:before="80" w:after="80" w:line="360" w:lineRule="auto"/>
        <w:jc w:val="both"/>
      </w:pPr>
      <w:r>
        <w:rPr>
          <w:rFonts w:ascii="Times New Roman" w:hAnsi="Times New Roman" w:eastAsia="Times New Roman" w:cs="Times New Roman"/>
          <w:sz w:val="24"/>
          <w:szCs w:val="24"/>
        </w:rPr>
        <w:t>The study adopts an exploratory and descriptive research design. The exploratory dimension is present because multi-agent LLM simulation for business strategic foresight is a novel methodology; the research involves discovering what kind of outputs such a simulation produces and what analytical value they generate. The descriptive dimension is present because a substantial portion of the study involves documenting, in precise terms, the agent decision sequences, ecosystem dynamics, and strategic patterns that emerge from simulation runs.</w:t>
      </w:r>
    </w:p>
    <w:p>
      <w:pPr>
        <w:spacing w:before="60" w:after="60"/>
      </w:pPr>
    </w:p>
    <w:p>
      <w:pPr>
        <w:spacing w:before="80" w:after="80" w:line="360" w:lineRule="auto"/>
        <w:jc w:val="both"/>
      </w:pPr>
      <w:r>
        <w:rPr>
          <w:rFonts w:ascii="Times New Roman" w:hAnsi="Times New Roman" w:eastAsia="Times New Roman" w:cs="Times New Roman"/>
          <w:sz w:val="24"/>
          <w:szCs w:val="24"/>
        </w:rPr>
        <w:t>The study uses a qualitative-quantitative hybrid methodology. Qualitative inputs include: the textual reasoning generated by LLM agents (assessments, strategic rationales, public signals); the narrative formulation of shock scenarios; and the interpretive analysis of simulation outputs. Quantitative inputs include: the real financial data embedded in agent profiles; the numerical parameters of scenarios (tariff rates, trade volumes, severity scores); and the scalar metrics tracked across simulation rounds (confidence scores, fear-greed indices, financial health indicators).</w:t>
      </w:r>
    </w:p>
    <w:p>
      <w:pPr>
        <w:spacing w:before="60" w:after="60"/>
      </w:pPr>
    </w:p>
    <w:p>
      <w:pPr>
        <w:spacing w:before="80" w:after="80" w:line="360" w:lineRule="auto"/>
        <w:jc w:val="both"/>
      </w:pPr>
      <w:r>
        <w:rPr>
          <w:rFonts w:ascii="Times New Roman" w:hAnsi="Times New Roman" w:eastAsia="Times New Roman" w:cs="Times New Roman"/>
          <w:sz w:val="24"/>
          <w:szCs w:val="24"/>
        </w:rPr>
        <w:t>The mixing of qualitative and quantitative elements occurs at multiple levels. At the input level, quantitative financial data is embedded in qualitative agent profiles (the JSON structure combines numerical data with descriptive objectives and constraints). At the processing level, the LLM transforms mixed quantitative-qualitative inputs into qualitative decisions backed by numerical confidence scores. At the output level, the StateResolver applies quantitative rules (market clearing equations, lobbying accumulation algorithms) to qualitative agent decisions, producing a numerically updated WorldState that forms the input to the next round's qualitative reasoning. This multi-level mixing produces an emergent hybrid methodology that is neither purely quantitative nor purely qualitative but integrates both in a way that is theoretically grounded and practically purposeful.</w:t>
      </w:r>
    </w:p>
    <w:p>
      <w:pPr>
        <w:spacing w:before="60" w:after="60"/>
      </w:pPr>
    </w:p>
    <w:p>
      <w:pPr>
        <w:spacing w:before="80" w:after="80" w:line="360" w:lineRule="auto"/>
        <w:jc w:val="both"/>
      </w:pPr>
      <w:r>
        <w:rPr>
          <w:rFonts w:ascii="Times New Roman" w:hAnsi="Times New Roman" w:eastAsia="Times New Roman" w:cs="Times New Roman"/>
          <w:sz w:val="24"/>
          <w:szCs w:val="24"/>
        </w:rPr>
        <w:t>The case study research design is appropriate for this project's exploratory stage. Yin (2003) identifies case studies as the preferred research strategy when 'how' and 'why' questions are being posed, when the researcher has little control over events, and when the focus is on a contemporary phenomenon within its real-life context. All three conditions apply here: the project asks how an ecosystem responds (a 'how' question), the researcher does not control the simulated ecosystem's behaviour (the LLM agents make autonomous decisions), and the tariff shock scenario is grounded in a contemporary real-world policy context. The use of a single case (Indian steel ecosystem responding to US tariff) is appropriate at this stage of an emerging methodology; future research should extend to multiple cases across sectors.</w:t>
      </w:r>
    </w:p>
    <w:p>
      <w:pPr>
        <w:pStyle w:val="3"/>
        <w:spacing w:before="300" w:after="160"/>
        <w:jc w:val="left"/>
        <w:outlineLvl w:val="1"/>
      </w:pPr>
      <w:r>
        <w:rPr>
          <w:rFonts w:ascii="Times New Roman" w:hAnsi="Times New Roman" w:eastAsia="Times New Roman" w:cs="Times New Roman"/>
          <w:b/>
          <w:bCs/>
          <w:sz w:val="28"/>
          <w:szCs w:val="28"/>
        </w:rPr>
        <w:t>3.3 Data Sources</w:t>
      </w:r>
    </w:p>
    <w:p>
      <w:pPr>
        <w:spacing w:before="80" w:after="80" w:line="360" w:lineRule="auto"/>
        <w:jc w:val="both"/>
      </w:pPr>
      <w:r>
        <w:rPr>
          <w:rFonts w:ascii="Times New Roman" w:hAnsi="Times New Roman" w:eastAsia="Times New Roman" w:cs="Times New Roman"/>
          <w:sz w:val="24"/>
          <w:szCs w:val="24"/>
        </w:rPr>
        <w:t>All data used in this study is secondary in nature, drawn from publicly available sources. Company financial data is drawn from Tata Steel Limited Annual Report and Accounts FY2024-25 and BSE/NSE filings. Trade policy data is sourced from the Ministry of Steel (Government of India), WTO Trade Policy Review: India (2023), and DGTR investigation records. Macroeconomic data is drawn from the Reserve Bank of India database and Ministry of Commerce export data. Market data references London Metal Exchange (LME) and Platts S&amp;P Global benchmarks for iron ore and HRC prices.</w:t>
      </w:r>
    </w:p>
    <w:p>
      <w:pPr>
        <w:spacing w:before="60" w:after="60"/>
      </w:pPr>
    </w:p>
    <w:tbl>
      <w:tblPr>
        <w:tblStyle w:val="9"/>
        <w:tblpPr w:leftFromText="180" w:rightFromText="180" w:vertAnchor="text" w:horzAnchor="page" w:tblpX="1569" w:tblpY="313"/>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800"/>
        <w:gridCol w:w="3400"/>
        <w:gridCol w:w="3160"/>
      </w:tblGrid>
      <w:tr>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Data Category</w:t>
            </w:r>
          </w:p>
        </w:tc>
        <w:tc>
          <w:tcPr>
            <w:tcW w:w="3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Source</w:t>
            </w:r>
          </w:p>
        </w:tc>
        <w:tc>
          <w:tcPr>
            <w:tcW w:w="31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Key Variables</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Company financials</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 Annual Report FY25</w:t>
            </w:r>
          </w:p>
        </w:tc>
        <w:tc>
          <w:tcPr>
            <w:tcW w:w="3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Revenue, EBITDA, capacity, export share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Steel sector statistics</w:t>
            </w:r>
          </w:p>
        </w:tc>
        <w:tc>
          <w:tcPr>
            <w:tcW w:w="3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Ministry of Steel, GoI</w:t>
            </w:r>
          </w:p>
        </w:tc>
        <w:tc>
          <w:tcPr>
            <w:tcW w:w="3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Production, employment, exports</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Trade policy</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WTO, DGTR, USDOC</w:t>
            </w:r>
          </w:p>
        </w:tc>
        <w:tc>
          <w:tcPr>
            <w:tcW w:w="3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Tariff rates, investigation records</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Bilateral trade</w:t>
            </w:r>
          </w:p>
        </w:tc>
        <w:tc>
          <w:tcPr>
            <w:tcW w:w="3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Ministry of Commerce</w:t>
            </w:r>
          </w:p>
        </w:tc>
        <w:tc>
          <w:tcPr>
            <w:tcW w:w="3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US-India steel trade flows</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Market prices</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LME, Platts</w:t>
            </w:r>
          </w:p>
        </w:tc>
        <w:tc>
          <w:tcPr>
            <w:tcW w:w="3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HRC, iron ore benchmark prices</w:t>
            </w:r>
          </w:p>
        </w:tc>
      </w:tr>
    </w:tbl>
    <w:p>
      <w:pPr>
        <w:spacing w:before="120" w:after="80"/>
        <w:jc w:val="center"/>
      </w:pPr>
      <w:r>
        <w:rPr>
          <w:rFonts w:ascii="Times New Roman" w:hAnsi="Times New Roman" w:eastAsia="Times New Roman" w:cs="Times New Roman"/>
          <w:b/>
          <w:bCs/>
          <w:i/>
          <w:iCs/>
          <w:sz w:val="24"/>
          <w:szCs w:val="24"/>
        </w:rPr>
        <w:t>Table 3.1: Summary of Data Sources</w:t>
      </w:r>
    </w:p>
    <w:p>
      <w:pPr>
        <w:pStyle w:val="3"/>
        <w:spacing w:before="300" w:after="160"/>
        <w:jc w:val="left"/>
        <w:outlineLvl w:val="1"/>
      </w:pPr>
      <w:r>
        <w:rPr>
          <w:rFonts w:ascii="Times New Roman" w:hAnsi="Times New Roman" w:eastAsia="Times New Roman" w:cs="Times New Roman"/>
          <w:b/>
          <w:bCs/>
          <w:sz w:val="28"/>
          <w:szCs w:val="28"/>
        </w:rPr>
        <w:t>3.4 Agent Design Methodology</w:t>
      </w:r>
    </w:p>
    <w:p>
      <w:pPr>
        <w:spacing w:before="80" w:after="80" w:line="360" w:lineRule="auto"/>
        <w:jc w:val="both"/>
      </w:pPr>
      <w:r>
        <w:rPr>
          <w:rFonts w:ascii="Times New Roman" w:hAnsi="Times New Roman" w:eastAsia="Times New Roman" w:cs="Times New Roman"/>
          <w:sz w:val="24"/>
          <w:szCs w:val="24"/>
        </w:rPr>
        <w:t>The simulation comprises six agent types, each designed following a common methodology. Each agent is assigned a role type from the taxonomy: company, government, consumer, supplier, regulator, or investor. Each agent profile is encoded as a JSON file containing: (a) a descriptive identity; (b) a set of strategic objectives; (c) a set of constraints that limit the agent’s action space; and (d) a data section containing real-world quantitative data relevant to the agent’s role. Agent objectives and constraints are directly derived from the corresponding real-world entity’s publicly stated goals and operational realities.</w:t>
      </w:r>
    </w:p>
    <w:p>
      <w:pPr>
        <w:spacing w:before="60" w:after="60"/>
      </w:pPr>
    </w:p>
    <w:p>
      <w:pPr>
        <w:spacing w:before="120" w:after="80"/>
        <w:jc w:val="center"/>
      </w:pPr>
      <w:r>
        <w:rPr>
          <w:rFonts w:ascii="Times New Roman" w:hAnsi="Times New Roman" w:eastAsia="Times New Roman" w:cs="Times New Roman"/>
          <w:b/>
          <w:bCs/>
          <w:i/>
          <w:iCs/>
          <w:sz w:val="24"/>
          <w:szCs w:val="24"/>
        </w:rPr>
        <w:t>Table 3.2: Agent Profiles in the Simulation</w:t>
      </w:r>
    </w:p>
    <w:tbl>
      <w:tblPr>
        <w:tblStyle w:val="9"/>
        <w:tblpPr w:leftFromText="180" w:rightFromText="180" w:vertAnchor="text" w:horzAnchor="page" w:tblpX="1595" w:tblpY="36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720"/>
        <w:gridCol w:w="2947"/>
        <w:gridCol w:w="1573"/>
        <w:gridCol w:w="2120"/>
      </w:tblGrid>
      <w:tr>
        <w:trPr>
          <w:tblHeader/>
        </w:trPr>
        <w:tc>
          <w:tcPr>
            <w:tcW w:w="23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 ID</w:t>
            </w:r>
          </w:p>
        </w:tc>
        <w:tc>
          <w:tcPr>
            <w:tcW w:w="3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Name</w:t>
            </w:r>
          </w:p>
        </w:tc>
        <w:tc>
          <w:tcPr>
            <w:tcW w:w="16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Role Type</w:t>
            </w:r>
          </w:p>
        </w:tc>
        <w:tc>
          <w:tcPr>
            <w:tcW w:w="22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Real Data Source</w:t>
            </w:r>
          </w:p>
        </w:tc>
      </w:tr>
      <w:tr>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tata_steel</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 Limited</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Company</w:t>
            </w:r>
          </w:p>
        </w:tc>
        <w:tc>
          <w:tcPr>
            <w:tcW w:w="22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23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gov_india</w:t>
            </w:r>
          </w:p>
        </w:tc>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Govt of India (Min. of Commerce)</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Government</w:t>
            </w:r>
          </w:p>
        </w:tc>
        <w:tc>
          <w:tcPr>
            <w:tcW w:w="22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MoS/MoC reports</w:t>
            </w:r>
          </w:p>
        </w:tc>
      </w:tr>
      <w:tr>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industrial_steel_consumer</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Indian Industrial Steel Consumers</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Consumer</w:t>
            </w:r>
          </w:p>
        </w:tc>
        <w:tc>
          <w:tcPr>
            <w:tcW w:w="22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Industry surveys</w:t>
            </w:r>
          </w:p>
        </w:tc>
      </w:tr>
      <w:tr>
        <w:tc>
          <w:tcPr>
            <w:tcW w:w="23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iron_ore</w:t>
            </w:r>
          </w:p>
        </w:tc>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 (NMDC + imports)</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Supplier</w:t>
            </w:r>
          </w:p>
        </w:tc>
        <w:tc>
          <w:tcPr>
            <w:tcW w:w="22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NMDC data</w:t>
            </w:r>
          </w:p>
        </w:tc>
      </w:tr>
      <w:tr>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Directorate General of Trade Remedies</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Regulator</w:t>
            </w:r>
          </w:p>
        </w:tc>
        <w:tc>
          <w:tcPr>
            <w:tcW w:w="22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 records</w:t>
            </w:r>
          </w:p>
        </w:tc>
      </w:tr>
      <w:tr>
        <w:tc>
          <w:tcPr>
            <w:tcW w:w="23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fii_aggregate</w:t>
            </w:r>
          </w:p>
        </w:tc>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Foreign Institutional Investors</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Investor</w:t>
            </w:r>
          </w:p>
        </w:tc>
        <w:tc>
          <w:tcPr>
            <w:tcW w:w="22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SEBI/NSE data</w:t>
            </w:r>
          </w:p>
        </w:tc>
      </w:tr>
    </w:tbl>
    <w:p>
      <w:pPr>
        <w:pStyle w:val="3"/>
        <w:spacing w:before="300" w:after="160"/>
        <w:jc w:val="left"/>
        <w:outlineLvl w:val="1"/>
      </w:pPr>
      <w:r>
        <w:rPr>
          <w:rFonts w:ascii="Times New Roman" w:hAnsi="Times New Roman" w:eastAsia="Times New Roman" w:cs="Times New Roman"/>
          <w:b/>
          <w:bCs/>
          <w:sz w:val="28"/>
          <w:szCs w:val="28"/>
        </w:rPr>
        <w:t>3.4b The StateResolver Pipeline — Detailed Architecture</w:t>
      </w:r>
    </w:p>
    <w:p>
      <w:pPr>
        <w:spacing w:before="80" w:after="80" w:line="360" w:lineRule="auto"/>
        <w:jc w:val="both"/>
      </w:pPr>
      <w:r>
        <w:rPr>
          <w:rFonts w:ascii="Times New Roman" w:hAnsi="Times New Roman" w:eastAsia="Times New Roman" w:cs="Times New Roman"/>
          <w:sz w:val="24"/>
          <w:szCs w:val="24"/>
        </w:rPr>
        <w:t>The StateResolver is the most technically complex component of the simulation architecture. Its 10-step deterministic pipeline ensures that all agent decisions from a given round are processed consistently and that the resulting world state update is reproducible. The pipeline is executed sequentially (not in parallel), as several steps depend on the outputs of earlier steps. The table below documents each pipeline step, its function, and its theoretical grounding.</w:t>
      </w:r>
    </w:p>
    <w:tbl>
      <w:tblPr>
        <w:tblStyle w:val="9"/>
        <w:tblpPr w:leftFromText="180" w:rightFromText="180" w:vertAnchor="text" w:horzAnchor="page" w:tblpX="1594" w:tblpY="310"/>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654"/>
        <w:gridCol w:w="1769"/>
        <w:gridCol w:w="2413"/>
        <w:gridCol w:w="1759"/>
        <w:gridCol w:w="2765"/>
      </w:tblGrid>
      <w:tr>
        <w:trPr>
          <w:tblHeader/>
        </w:trPr>
        <w:tc>
          <w:tcPr>
            <w:tcW w:w="654"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Step</w:t>
            </w:r>
          </w:p>
        </w:tc>
        <w:tc>
          <w:tcPr>
            <w:tcW w:w="1769"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Process</w:t>
            </w:r>
          </w:p>
        </w:tc>
        <w:tc>
          <w:tcPr>
            <w:tcW w:w="2413"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Input</w:t>
            </w:r>
          </w:p>
        </w:tc>
        <w:tc>
          <w:tcPr>
            <w:tcW w:w="1759"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Output</w:t>
            </w:r>
          </w:p>
        </w:tc>
        <w:tc>
          <w:tcPr>
            <w:tcW w:w="2765"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Theoretical Basis</w:t>
            </w:r>
          </w:p>
        </w:tc>
      </w:tr>
      <w:tr>
        <w:tc>
          <w:tcPr>
            <w:tcW w:w="65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w:t>
            </w:r>
          </w:p>
        </w:tc>
        <w:tc>
          <w:tcPr>
            <w:tcW w:w="176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Policy Change Application</w:t>
            </w:r>
          </w:p>
        </w:tc>
        <w:tc>
          <w:tcPr>
            <w:tcW w:w="241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Government/Regulator decisions with policy_delta</w:t>
            </w:r>
          </w:p>
        </w:tc>
        <w:tc>
          <w:tcPr>
            <w:tcW w:w="175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Updated tariff rates, import duties, subsidy levels in WorldState</w:t>
            </w:r>
          </w:p>
        </w:tc>
        <w:tc>
          <w:tcPr>
            <w:tcW w:w="276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Institutional Theory — government as rule-setter</w:t>
            </w:r>
          </w:p>
        </w:tc>
      </w:tr>
      <w:tr>
        <w:tc>
          <w:tcPr>
            <w:tcW w:w="654"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w:t>
            </w:r>
          </w:p>
        </w:tc>
        <w:tc>
          <w:tcPr>
            <w:tcW w:w="176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Trade Flow Recalculation</w:t>
            </w:r>
          </w:p>
        </w:tc>
        <w:tc>
          <w:tcPr>
            <w:tcW w:w="2413"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Trade route configuration; tariff rates from Step 1</w:t>
            </w:r>
          </w:p>
        </w:tc>
        <w:tc>
          <w:tcPr>
            <w:tcW w:w="175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Revised volume and revenue on each route</w:t>
            </w:r>
          </w:p>
        </w:tc>
        <w:tc>
          <w:tcPr>
            <w:tcW w:w="2765"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Porter's Diamond — trade competitiveness</w:t>
            </w:r>
          </w:p>
        </w:tc>
      </w:tr>
      <w:tr>
        <w:tc>
          <w:tcPr>
            <w:tcW w:w="65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3</w:t>
            </w:r>
          </w:p>
        </w:tc>
        <w:tc>
          <w:tcPr>
            <w:tcW w:w="176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Market Clearing</w:t>
            </w:r>
          </w:p>
        </w:tc>
        <w:tc>
          <w:tcPr>
            <w:tcW w:w="241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Revised trade flows; domestic supply/demand parameters</w:t>
            </w:r>
          </w:p>
        </w:tc>
        <w:tc>
          <w:tcPr>
            <w:tcW w:w="175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Equilibrium domestic prices for HRC, iron ore, scrap</w:t>
            </w:r>
          </w:p>
        </w:tc>
        <w:tc>
          <w:tcPr>
            <w:tcW w:w="276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Microeconomics — supply-demand equilibrium</w:t>
            </w:r>
          </w:p>
        </w:tc>
      </w:tr>
      <w:tr>
        <w:tc>
          <w:tcPr>
            <w:tcW w:w="654"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4</w:t>
            </w:r>
          </w:p>
        </w:tc>
        <w:tc>
          <w:tcPr>
            <w:tcW w:w="176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Lobbying Score Accumulation</w:t>
            </w:r>
          </w:p>
        </w:tc>
        <w:tc>
          <w:tcPr>
            <w:tcW w:w="2413"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Agent advocacy actions; capture_vulnerability parameter</w:t>
            </w:r>
          </w:p>
        </w:tc>
        <w:tc>
          <w:tcPr>
            <w:tcW w:w="175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Updated capture_score for regulatory agents</w:t>
            </w:r>
          </w:p>
        </w:tc>
        <w:tc>
          <w:tcPr>
            <w:tcW w:w="2765"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Principal-Agent Theory — regulatory capture</w:t>
            </w:r>
          </w:p>
        </w:tc>
      </w:tr>
      <w:tr>
        <w:tc>
          <w:tcPr>
            <w:tcW w:w="65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5</w:t>
            </w:r>
          </w:p>
        </w:tc>
        <w:tc>
          <w:tcPr>
            <w:tcW w:w="176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Investor Valuation Adjustment</w:t>
            </w:r>
          </w:p>
        </w:tc>
        <w:tc>
          <w:tcPr>
            <w:tcW w:w="241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FII decisions; earnings signals; fear-greed index</w:t>
            </w:r>
          </w:p>
        </w:tc>
        <w:tc>
          <w:tcPr>
            <w:tcW w:w="175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Revised equity market valuation and institutional holdings</w:t>
            </w:r>
          </w:p>
        </w:tc>
        <w:tc>
          <w:tcPr>
            <w:tcW w:w="276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Behavioral Finance — sentiment-driven pricing</w:t>
            </w:r>
          </w:p>
        </w:tc>
      </w:tr>
      <w:tr>
        <w:tc>
          <w:tcPr>
            <w:tcW w:w="654"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6</w:t>
            </w:r>
          </w:p>
        </w:tc>
        <w:tc>
          <w:tcPr>
            <w:tcW w:w="176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Conflict Resolution</w:t>
            </w:r>
          </w:p>
        </w:tc>
        <w:tc>
          <w:tcPr>
            <w:tcW w:w="2413"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Competing agent decisions with mutually exclusive outcomes</w:t>
            </w:r>
          </w:p>
        </w:tc>
        <w:tc>
          <w:tcPr>
            <w:tcW w:w="175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Resolved priority order for conflicting actions</w:t>
            </w:r>
          </w:p>
        </w:tc>
        <w:tc>
          <w:tcPr>
            <w:tcW w:w="2765"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Game Theory — mechanism design</w:t>
            </w:r>
          </w:p>
        </w:tc>
      </w:tr>
      <w:tr>
        <w:tc>
          <w:tcPr>
            <w:tcW w:w="65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7</w:t>
            </w:r>
          </w:p>
        </w:tc>
        <w:tc>
          <w:tcPr>
            <w:tcW w:w="176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Competitive Effects</w:t>
            </w:r>
          </w:p>
        </w:tc>
        <w:tc>
          <w:tcPr>
            <w:tcW w:w="241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Market share shifts; competitive response decisions</w:t>
            </w:r>
          </w:p>
        </w:tc>
        <w:tc>
          <w:tcPr>
            <w:tcW w:w="175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Updated market share and competitive positioning</w:t>
            </w:r>
          </w:p>
        </w:tc>
        <w:tc>
          <w:tcPr>
            <w:tcW w:w="276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Porter's Five Forces — rivalry dynamics</w:t>
            </w:r>
          </w:p>
        </w:tc>
      </w:tr>
      <w:tr>
        <w:tc>
          <w:tcPr>
            <w:tcW w:w="654"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8</w:t>
            </w:r>
          </w:p>
        </w:tc>
        <w:tc>
          <w:tcPr>
            <w:tcW w:w="176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Fear-Greed Index Update</w:t>
            </w:r>
          </w:p>
        </w:tc>
        <w:tc>
          <w:tcPr>
            <w:tcW w:w="2413"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All agent confidence scores; market clearing outcomes</w:t>
            </w:r>
          </w:p>
        </w:tc>
        <w:tc>
          <w:tcPr>
            <w:tcW w:w="175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New fear-greed index for each agent</w:t>
            </w:r>
          </w:p>
        </w:tc>
        <w:tc>
          <w:tcPr>
            <w:tcW w:w="2765"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Kahneman &amp; Tversky — emotional state tracking</w:t>
            </w:r>
          </w:p>
        </w:tc>
      </w:tr>
      <w:tr>
        <w:tc>
          <w:tcPr>
            <w:tcW w:w="65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9</w:t>
            </w:r>
          </w:p>
        </w:tc>
        <w:tc>
          <w:tcPr>
            <w:tcW w:w="176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Per-Agent State Patches</w:t>
            </w:r>
          </w:p>
        </w:tc>
        <w:tc>
          <w:tcPr>
            <w:tcW w:w="241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Agent-specific decisions (capex, hedges, contracts)</w:t>
            </w:r>
          </w:p>
        </w:tc>
        <w:tc>
          <w:tcPr>
            <w:tcW w:w="175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Individual agent financial health and operational status</w:t>
            </w:r>
          </w:p>
        </w:tc>
        <w:tc>
          <w:tcPr>
            <w:tcW w:w="2765"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RBV — resource deployment tracking</w:t>
            </w:r>
          </w:p>
        </w:tc>
      </w:tr>
      <w:tr>
        <w:tc>
          <w:tcPr>
            <w:tcW w:w="654"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10</w:t>
            </w:r>
          </w:p>
        </w:tc>
        <w:tc>
          <w:tcPr>
            <w:tcW w:w="176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Event Detection and Logging</w:t>
            </w:r>
          </w:p>
        </w:tc>
        <w:tc>
          <w:tcPr>
            <w:tcW w:w="2413"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State diffs from Steps 1–9; threshold parameters</w:t>
            </w:r>
          </w:p>
        </w:tc>
        <w:tc>
          <w:tcPr>
            <w:tcW w:w="175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Event log (trade disputes, duty impositions, credit events)</w:t>
            </w:r>
          </w:p>
        </w:tc>
        <w:tc>
          <w:tcPr>
            <w:tcW w:w="2765"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System monitoring — audit trail</w:t>
            </w:r>
          </w:p>
        </w:tc>
      </w:tr>
    </w:tbl>
    <w:p>
      <w:pPr>
        <w:spacing w:before="120" w:after="80"/>
        <w:jc w:val="center"/>
      </w:pPr>
      <w:r>
        <w:rPr>
          <w:rFonts w:ascii="Times New Roman" w:hAnsi="Times New Roman" w:eastAsia="Times New Roman" w:cs="Times New Roman"/>
          <w:b/>
          <w:bCs/>
          <w:i/>
          <w:iCs/>
          <w:sz w:val="24"/>
          <w:szCs w:val="24"/>
        </w:rPr>
        <w:t>Table 3.2b: StateResolver 10-Step Pipeline — Detailed Specification</w:t>
      </w:r>
    </w:p>
    <w:p>
      <w:pPr>
        <w:spacing w:before="60" w:after="60"/>
      </w:pPr>
    </w:p>
    <w:p>
      <w:pPr>
        <w:spacing w:before="80" w:after="80" w:line="360" w:lineRule="auto"/>
        <w:jc w:val="both"/>
      </w:pPr>
      <w:r>
        <w:rPr>
          <w:rFonts w:ascii="Times New Roman" w:hAnsi="Times New Roman" w:eastAsia="Times New Roman" w:cs="Times New Roman"/>
          <w:sz w:val="24"/>
          <w:szCs w:val="24"/>
        </w:rPr>
        <w:t>The deterministic nature of the StateResolver is a critical design choice. Because the StateResolver always produces the same world state update given the same agent decisions and prior world state, the stochasticity in simulation outputs derives entirely from LLM reasoning variation — not from the resolution mechanism. This design property allows the simulation to isolate the effect of LLM reasoning quality on output quality, and enables controlled experiments in future research where the same agent decisions can be processed through modified resolver configurations.</w:t>
      </w:r>
    </w:p>
    <w:p>
      <w:pPr>
        <w:pStyle w:val="3"/>
        <w:spacing w:before="300" w:after="160"/>
        <w:jc w:val="left"/>
        <w:outlineLvl w:val="1"/>
      </w:pPr>
      <w:r>
        <w:rPr>
          <w:rFonts w:ascii="Times New Roman" w:hAnsi="Times New Roman" w:eastAsia="Times New Roman" w:cs="Times New Roman"/>
          <w:b/>
          <w:bCs/>
          <w:sz w:val="28"/>
          <w:szCs w:val="28"/>
        </w:rPr>
        <w:t>3.5 Simulation Design</w:t>
      </w:r>
    </w:p>
    <w:p>
      <w:pPr>
        <w:spacing w:before="80" w:after="80" w:line="360" w:lineRule="auto"/>
        <w:jc w:val="both"/>
      </w:pPr>
      <w:r>
        <w:rPr>
          <w:rFonts w:ascii="Times New Roman" w:hAnsi="Times New Roman" w:eastAsia="Times New Roman" w:cs="Times New Roman"/>
          <w:sz w:val="24"/>
          <w:szCs w:val="24"/>
        </w:rPr>
        <w:t>The simulation engine implements a four-phase round loop:</w:t>
      </w:r>
    </w:p>
    <w:p>
      <w:pPr>
        <w:spacing w:before="80" w:after="80" w:line="360" w:lineRule="auto"/>
        <w:jc w:val="both"/>
      </w:pPr>
      <w:r>
        <w:rPr>
          <w:rFonts w:ascii="Times New Roman" w:hAnsi="Times New Roman" w:eastAsia="Times New Roman" w:cs="Times New Roman"/>
          <w:b/>
          <w:bCs/>
          <w:sz w:val="24"/>
          <w:szCs w:val="24"/>
        </w:rPr>
        <w:t xml:space="preserve">Phase 1 – State Assembly: </w:t>
      </w:r>
      <w:r>
        <w:rPr>
          <w:rFonts w:ascii="Times New Roman" w:hAnsi="Times New Roman" w:eastAsia="Times New Roman" w:cs="Times New Roman"/>
          <w:sz w:val="24"/>
          <w:szCs w:val="24"/>
        </w:rPr>
        <w:t>At the start of each round, the SimulationEngine builds a RoundContext for each agent. This includes the shock scenario (which persists across all rounds), the current WorldState (market prices, trade route volumes, active signals), each agent’s memory of its own prior-round decisions, and the filtered views of other agents’ public signals. The VisibilityFilter enforces information asymmetry by restricting each agent’s access to information it would not realistically have.</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Phase 2 – Agent Execution: </w:t>
      </w:r>
      <w:r>
        <w:rPr>
          <w:rFonts w:ascii="Times New Roman" w:hAnsi="Times New Roman" w:eastAsia="Times New Roman" w:cs="Times New Roman"/>
          <w:sz w:val="24"/>
          <w:szCs w:val="24"/>
        </w:rPr>
        <w:t>All agents execute simultaneously using Python’s ThreadPoolExecutor, ensuring no agent has access to another’s current-round decision before committing to its own. Each agent calls the LLM backend (OpenRouter API with Moonshot AI’s Kimi K2 model) with its assembled prompt. The ResponseParser validates the LLM’s JSON output and retries up to two times in the event of malformed responses.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Phase 3 – State Resolution: </w:t>
      </w:r>
      <w:r>
        <w:rPr>
          <w:rFonts w:ascii="Times New Roman" w:hAnsi="Times New Roman" w:eastAsia="Times New Roman" w:cs="Times New Roman"/>
          <w:sz w:val="24"/>
          <w:szCs w:val="24"/>
        </w:rPr>
        <w:t>The StateResolver implements a deterministic 10-step pipeline: (1) policy changes applied; (2) trade flow recalculation; (3) market clearing; (4) lobbying accumulation; (5) investor valuation adjustments; (6) conflict resolution; (7) competitive effects; (8) fear-greed index updates; (9) per-agent state patches; and (10) event detection and logging.</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Phase 4 – Output and Iteration: </w:t>
      </w:r>
      <w:r>
        <w:rPr>
          <w:rFonts w:ascii="Times New Roman" w:hAnsi="Times New Roman" w:eastAsia="Times New Roman" w:cs="Times New Roman"/>
          <w:sz w:val="24"/>
          <w:szCs w:val="24"/>
        </w:rPr>
        <w:t>The engine collects all round responses, applies state updates, generates a rich-formatted summary of agent decisions and public signals, and checks for convergence (all agents selecting the “wait” action for two or more consecutive rounds). If convergence is not detected, the next round begins.</w:t>
      </w:r>
    </w:p>
    <w:p>
      <w:pPr>
        <w:pStyle w:val="3"/>
        <w:spacing w:before="300" w:after="160"/>
        <w:jc w:val="left"/>
        <w:outlineLvl w:val="1"/>
      </w:pPr>
      <w:r>
        <w:rPr>
          <w:rFonts w:ascii="Times New Roman" w:hAnsi="Times New Roman" w:eastAsia="Times New Roman" w:cs="Times New Roman"/>
          <w:b/>
          <w:bCs/>
          <w:sz w:val="28"/>
          <w:szCs w:val="28"/>
        </w:rPr>
        <w:t>3.6 LLM Backend and Infrastructure</w:t>
      </w:r>
    </w:p>
    <w:p>
      <w:pPr>
        <w:spacing w:before="80" w:after="80" w:line="360" w:lineRule="auto"/>
        <w:jc w:val="both"/>
      </w:pPr>
      <w:r>
        <w:rPr>
          <w:rFonts w:ascii="Times New Roman" w:hAnsi="Times New Roman" w:eastAsia="Times New Roman" w:cs="Times New Roman"/>
          <w:sz w:val="24"/>
          <w:szCs w:val="24"/>
        </w:rPr>
        <w:t>The LLM backend uses the OpenAI SDK pointed at the OpenRouter API gateway. The default model is Moonshot AI’s Kimi K2, selected for its cost-effectiveness and strong performance on multi-step business reasoning tasks. Any model available on OpenRouter can be substituted without code changes. The simulation infrastructure is implemented in Python 3.11 using Pydantic for data modelling and validation, OpenAI SDK for LLM API calls, Rich for terminal output formatting, and Jupyter for interactive notebook execution. The estimated cost per simulation run (6 agents, 3 rounds) is approximately USD 2–4 at current model pricing. The wall-clock runtime is approximately 45–90 seconds.</w:t>
      </w:r>
    </w:p>
    <w:p>
      <w:pPr>
        <w:spacing w:before="60" w:after="60"/>
      </w:pPr>
    </w:p>
    <w:p>
      <w:pPr>
        <w:spacing w:before="80" w:after="80" w:line="360" w:lineRule="auto"/>
        <w:jc w:val="both"/>
      </w:pPr>
      <w:r>
        <w:rPr>
          <w:rFonts w:ascii="Times New Roman" w:hAnsi="Times New Roman" w:eastAsia="Times New Roman" w:cs="Times New Roman"/>
          <w:sz w:val="24"/>
          <w:szCs w:val="24"/>
        </w:rPr>
        <w:t>The OpenRouter API gateway is a model aggregation service that provides a unified API interface to models from multiple AI providers, including OpenAI, Anthropic, Meta, Mistral, and Moonshot AI, among others. The strategic advantage of OpenRouter as the backend is model provider independence: the simulation code makes API calls to a single standardised endpoint, while the choice of underlying model is a runtime configuration parameter. This design enables researchers to compare simulation outputs across different LLMs — an important methodological capability for future research comparing how different models’ reasoning styles affect the strategic dynamics they generate.</w:t>
      </w:r>
    </w:p>
    <w:p>
      <w:pPr>
        <w:spacing w:before="60" w:after="60"/>
      </w:pPr>
    </w:p>
    <w:p>
      <w:pPr>
        <w:spacing w:before="80" w:after="80" w:line="360" w:lineRule="auto"/>
        <w:jc w:val="both"/>
      </w:pPr>
      <w:r>
        <w:rPr>
          <w:rFonts w:ascii="Times New Roman" w:hAnsi="Times New Roman" w:eastAsia="Times New Roman" w:cs="Times New Roman"/>
          <w:sz w:val="24"/>
          <w:szCs w:val="24"/>
        </w:rPr>
        <w:t>The Python technology stack was selected based on four criteria: (1) ecosystem maturity — Python has the most comprehensive ecosystem of libraries for data science, AI, and simulation; (2) the availability of Pydantic, which provides rigorous data validation for agent profiles and simulation outputs, preventing data integrity errors that would silently corrupt simulation results; (3) the OpenAI SDK’s native Python implementation, which provides robust handling of API rate limits, retry logic, and response parsing; and (4) Jupyter notebook integration, which provides an interactive execution environment suitable for iterative exploration and for demonstrating the simulation to non-technical audiences in a business school context. The full codebase, including the simulation engine, agent profiles, scenario definitions, and Jupyter notebooks, is version-controlled and available as the accompanying technical deliverable of this project.</w:t>
      </w:r>
    </w:p>
    <w:p>
      <w:pPr>
        <w:pStyle w:val="3"/>
        <w:spacing w:before="300" w:after="160"/>
        <w:jc w:val="left"/>
        <w:outlineLvl w:val="1"/>
      </w:pPr>
      <w:r>
        <w:rPr>
          <w:rFonts w:ascii="Times New Roman" w:hAnsi="Times New Roman" w:eastAsia="Times New Roman" w:cs="Times New Roman"/>
          <w:b/>
          <w:bCs/>
          <w:sz w:val="28"/>
          <w:szCs w:val="28"/>
        </w:rPr>
        <w:t>3.7 Validity and Reliability</w:t>
      </w:r>
    </w:p>
    <w:p>
      <w:pPr>
        <w:spacing w:before="80" w:after="80" w:line="360" w:lineRule="auto"/>
        <w:jc w:val="both"/>
      </w:pPr>
      <w:r>
        <w:rPr>
          <w:rFonts w:ascii="Times New Roman" w:hAnsi="Times New Roman" w:eastAsia="Times New Roman" w:cs="Times New Roman"/>
          <w:b/>
          <w:bCs/>
          <w:sz w:val="24"/>
          <w:szCs w:val="24"/>
        </w:rPr>
        <w:t xml:space="preserve">Theoretical Validity: </w:t>
      </w:r>
      <w:r>
        <w:rPr>
          <w:rFonts w:ascii="Times New Roman" w:hAnsi="Times New Roman" w:eastAsia="Times New Roman" w:cs="Times New Roman"/>
          <w:sz w:val="24"/>
          <w:szCs w:val="24"/>
        </w:rPr>
        <w:t>Agent behaviour is grounded in established economic and strategic management theories. Company agents apply profit-maximising logic with financial constraints; government agents apply trade policy tools within WTO and fiscal deficit constraints; regulators apply procedural safeguard investigation logic; investors apply portfolio management principles with behavioural finance elements.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External Validity (Back-testing): </w:t>
      </w:r>
      <w:r>
        <w:rPr>
          <w:rFonts w:ascii="Times New Roman" w:hAnsi="Times New Roman" w:eastAsia="Times New Roman" w:cs="Times New Roman"/>
          <w:sz w:val="24"/>
          <w:szCs w:val="24"/>
        </w:rPr>
        <w:t>Simulation outputs are validated against the observed responses of real-world counterpart entities to the 2018 Section 232 tariff event. Key comparison points include: Tata Steel’s actual export diversion away from the US market; the Government of India’s actual WTO dispute initiation; and the DGTR’s historical pattern of initiating safeguard investigations following major trade policy shocks.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Reliability: </w:t>
      </w:r>
      <w:r>
        <w:rPr>
          <w:rFonts w:ascii="Times New Roman" w:hAnsi="Times New Roman" w:eastAsia="Times New Roman" w:cs="Times New Roman"/>
          <w:sz w:val="24"/>
          <w:szCs w:val="24"/>
        </w:rPr>
        <w:t>The StateResolver is entirely deterministic; given the same agent decisions and prior world state, it will always produce the same output. LLM reasoning introduces stochasticity, but this reflects genuine uncertainty about strategic outcomes, analogous to Monte Carlo methods in quantitative risk modelling.</w:t>
      </w:r>
    </w:p>
    <w:p>
      <w:pPr>
        <w:pStyle w:val="3"/>
        <w:spacing w:before="300" w:after="160"/>
        <w:jc w:val="left"/>
        <w:outlineLvl w:val="1"/>
      </w:pPr>
      <w:r>
        <w:rPr>
          <w:rFonts w:ascii="Times New Roman" w:hAnsi="Times New Roman" w:eastAsia="Times New Roman" w:cs="Times New Roman"/>
          <w:b/>
          <w:bCs/>
          <w:sz w:val="28"/>
          <w:szCs w:val="28"/>
        </w:rPr>
        <w:t>3.8 Theoretical Framework Integration</w:t>
      </w:r>
    </w:p>
    <w:p>
      <w:pPr>
        <w:spacing w:before="80" w:after="80" w:line="360" w:lineRule="auto"/>
        <w:jc w:val="both"/>
      </w:pPr>
      <w:r>
        <w:rPr>
          <w:rFonts w:ascii="Times New Roman" w:hAnsi="Times New Roman" w:eastAsia="Times New Roman" w:cs="Times New Roman"/>
          <w:sz w:val="24"/>
          <w:szCs w:val="24"/>
        </w:rPr>
        <w:t>The simulation design integrates multiple established theoretical frameworks at the agent and system levels, ensuring that the computational model is theoretically anchored and not merely a heuristic exercise. The theoretical grounding is summarised below:</w:t>
      </w:r>
    </w:p>
    <w:p>
      <w:pPr>
        <w:spacing w:before="60" w:after="60"/>
      </w:pPr>
    </w:p>
    <w:p>
      <w:pPr>
        <w:spacing w:before="120" w:after="80"/>
        <w:jc w:val="center"/>
      </w:pPr>
      <w:r>
        <w:rPr>
          <w:rFonts w:ascii="Times New Roman" w:hAnsi="Times New Roman" w:eastAsia="Times New Roman" w:cs="Times New Roman"/>
          <w:b/>
          <w:bCs/>
          <w:i/>
          <w:iCs/>
          <w:sz w:val="24"/>
          <w:szCs w:val="24"/>
        </w:rPr>
        <w:t>Table 3.3: Theoretical Frameworks and Their Role in the Simulation</w:t>
      </w:r>
    </w:p>
    <w:tbl>
      <w:tblPr>
        <w:tblStyle w:val="9"/>
        <w:tblpPr w:leftFromText="180" w:rightFromText="180" w:vertAnchor="text" w:horzAnchor="page" w:tblpX="1710" w:tblpY="367"/>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000"/>
        <w:gridCol w:w="2200"/>
        <w:gridCol w:w="4160"/>
      </w:tblGrid>
      <w:tr>
        <w:trPr>
          <w:tblHeader/>
        </w:trPr>
        <w:tc>
          <w:tcPr>
            <w:tcW w:w="3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Theoretical Framework</w:t>
            </w:r>
          </w:p>
        </w:tc>
        <w:tc>
          <w:tcPr>
            <w:tcW w:w="2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Author(s) / Year</w:t>
            </w:r>
          </w:p>
        </w:tc>
        <w:tc>
          <w:tcPr>
            <w:tcW w:w="41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Application in Simulation</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Agent-Based Computational Economics (ACE)</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Tesfatsion (2006)</w:t>
            </w:r>
          </w:p>
        </w:tc>
        <w:tc>
          <w:tcPr>
            <w:tcW w:w="4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Core methodological foundation; heterogeneous agents, emergent system behaviour</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Game Theory (Nash Equilibrium)</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Nash (1950)</w:t>
            </w:r>
          </w:p>
        </w:tc>
        <w:tc>
          <w:tcPr>
            <w:tcW w:w="4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Multi-agent strategic interaction; convergence of strategies modelled across rounds</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Stackelberg Leadership</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Von Stackelberg (1934)</w:t>
            </w:r>
          </w:p>
        </w:tc>
        <w:tc>
          <w:tcPr>
            <w:tcW w:w="4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US tariff as first-mover action forcing all other agents into follower response roles</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Principal-Agent Theory</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Jensen &amp; Meckling (1976)</w:t>
            </w:r>
          </w:p>
        </w:tc>
        <w:tc>
          <w:tcPr>
            <w:tcW w:w="4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DGTR regulator design; capture_score parameter tracks lobbying-driven agency drift</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Prospect Theory (Loss Aversion)</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Kahneman &amp; Tversky (1979)</w:t>
            </w:r>
          </w:p>
        </w:tc>
        <w:tc>
          <w:tcPr>
            <w:tcW w:w="4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FII agent's fear-greed index; asymmetric divestment response to negative signals</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Resource-Based View (VRIN)</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Barney (1991)</w:t>
            </w:r>
          </w:p>
        </w:tc>
        <w:tc>
          <w:tcPr>
            <w:tcW w:w="4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Tata Steel agent strengths (captive ore, cash, global plants) as adaptation enablers</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Dynamic Capabilities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Teece et al. (1997)</w:t>
            </w:r>
          </w:p>
        </w:tc>
        <w:tc>
          <w:tcPr>
            <w:tcW w:w="4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Steel's round-by-round export reconfiguration as dynamic capability exercise</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Bounded Rationality / Satisficing</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Simon (1955)</w:t>
            </w:r>
          </w:p>
        </w:tc>
        <w:tc>
          <w:tcPr>
            <w:tcW w:w="4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LLM agents make satisficing decisions under information asymmetry, not omniscient optimisation</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Behavioural Theory of the Firm</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Cyert &amp; March (1963)</w:t>
            </w:r>
          </w:p>
        </w:tc>
        <w:tc>
          <w:tcPr>
            <w:tcW w:w="4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Problemistic search; consumer agent pivots to political lobbying when market adaptation insufficient</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Institutional Theory</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DiMaggio &amp; Powell (1983)</w:t>
            </w:r>
          </w:p>
        </w:tc>
        <w:tc>
          <w:tcPr>
            <w:tcW w:w="4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DGTR constrained by WTO procedural rules; government replicates WTO dispute template</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Transaction Cost Economics</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Williamson (1985)</w:t>
            </w:r>
          </w:p>
        </w:tc>
        <w:tc>
          <w:tcPr>
            <w:tcW w:w="4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 long-term contract strategy as TCE-predicted relational governance</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Porter's Five Forces</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Porter (1980)</w:t>
            </w:r>
          </w:p>
        </w:tc>
        <w:tc>
          <w:tcPr>
            <w:tcW w:w="4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Industry rivalry and buyer power changes modelled through market dynamics</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This theoretical integration ensures that the simulation does not operate as a 'black box' of AI outputs, but rather as a disciplined computational expression of established strategic management theory. Each agent's design and decision-making logic can be traced back to one or more of the frameworks in Table 3.3, providing a coherent theoretical chain from academic literature to simulation behaviour.</w:t>
      </w:r>
    </w:p>
    <w:p>
      <w:pPr>
        <w:pStyle w:val="3"/>
        <w:spacing w:before="300" w:after="160"/>
        <w:jc w:val="left"/>
        <w:outlineLvl w:val="1"/>
      </w:pPr>
      <w:r>
        <w:rPr>
          <w:rFonts w:ascii="Times New Roman" w:hAnsi="Times New Roman" w:eastAsia="Times New Roman" w:cs="Times New Roman"/>
          <w:b/>
          <w:bCs/>
          <w:sz w:val="28"/>
          <w:szCs w:val="28"/>
        </w:rPr>
        <w:t>3.9 Ethical Considerations</w:t>
      </w:r>
    </w:p>
    <w:p>
      <w:pPr>
        <w:spacing w:before="80" w:after="80" w:line="360" w:lineRule="auto"/>
        <w:jc w:val="both"/>
      </w:pPr>
      <w:r>
        <w:rPr>
          <w:rFonts w:ascii="Times New Roman" w:hAnsi="Times New Roman" w:eastAsia="Times New Roman" w:cs="Times New Roman"/>
          <w:sz w:val="24"/>
          <w:szCs w:val="24"/>
        </w:rPr>
        <w:t>This study uses only publicly available secondary data. The LLM-generated agent decisions are clearly identified as AI outputs and are not presented as statements of intention by any real-world organisation. All real-world financial data cited is sourced from public documents and appropriately referenced. The use of Tata Steel's financial data is entirely within the bounds of publicly available information; no insider or proprietary information was accessed or inferred.</w:t>
      </w:r>
    </w:p>
    <w:p>
      <w:pPr>
        <w:spacing w:before="60" w:after="60"/>
      </w:pPr>
    </w:p>
    <w:p>
      <w:pPr>
        <w:spacing w:before="80" w:after="80" w:line="360" w:lineRule="auto"/>
        <w:jc w:val="both"/>
      </w:pPr>
      <w:r>
        <w:rPr>
          <w:rFonts w:ascii="Times New Roman" w:hAnsi="Times New Roman" w:eastAsia="Times New Roman" w:cs="Times New Roman"/>
          <w:sz w:val="24"/>
          <w:szCs w:val="24"/>
        </w:rPr>
        <w:t>The simulation outputs must be interpreted as one plausible trajectory of ecosystem dynamics, not as a forecast or prediction of any specific organisation's actual future strategy. The project adopts appropriate epistemic humility about the limits of LLM reasoning as a model of real strategic decision-making.</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CHAPTER 4
DATA ANALYSIS AND SIMULATION RESULTS</w:t>
      </w:r>
    </w:p>
    <w:p>
      <w:pPr>
        <w:pStyle w:val="3"/>
        <w:spacing w:before="300" w:after="160"/>
        <w:jc w:val="left"/>
        <w:outlineLvl w:val="1"/>
      </w:pPr>
      <w:r>
        <w:rPr>
          <w:rFonts w:ascii="Times New Roman" w:hAnsi="Times New Roman" w:eastAsia="Times New Roman" w:cs="Times New Roman"/>
          <w:b/>
          <w:bCs/>
          <w:sz w:val="28"/>
          <w:szCs w:val="28"/>
        </w:rPr>
        <w:t>4.1 Agent Profiles Built from Real-World Data</w:t>
      </w:r>
    </w:p>
    <w:p>
      <w:pPr>
        <w:spacing w:before="80" w:after="80" w:line="360" w:lineRule="auto"/>
        <w:jc w:val="both"/>
      </w:pPr>
      <w:r>
        <w:rPr>
          <w:rFonts w:ascii="Times New Roman" w:hAnsi="Times New Roman" w:eastAsia="Times New Roman" w:cs="Times New Roman"/>
          <w:sz w:val="24"/>
          <w:szCs w:val="24"/>
        </w:rPr>
        <w:t>Six agents were constructed for the simulation, each grounded in real-world financial and institutional data. The profiles are summarised below.</w:t>
      </w:r>
    </w:p>
    <w:p>
      <w:pPr>
        <w:pStyle w:val="4"/>
        <w:spacing w:before="200" w:after="120"/>
        <w:jc w:val="left"/>
        <w:outlineLvl w:val="2"/>
      </w:pPr>
      <w:r>
        <w:rPr>
          <w:rFonts w:ascii="Times New Roman" w:hAnsi="Times New Roman" w:eastAsia="Times New Roman" w:cs="Times New Roman"/>
          <w:b/>
          <w:bCs/>
          <w:sz w:val="24"/>
          <w:szCs w:val="24"/>
        </w:rPr>
        <w:t>4.1.1 Tata Steel Limited (Company Agent)</w:t>
      </w:r>
    </w:p>
    <w:p>
      <w:pPr>
        <w:spacing w:before="80" w:after="80" w:line="360" w:lineRule="auto"/>
        <w:jc w:val="both"/>
      </w:pPr>
      <w:r>
        <w:rPr>
          <w:rFonts w:ascii="Times New Roman" w:hAnsi="Times New Roman" w:eastAsia="Times New Roman" w:cs="Times New Roman"/>
          <w:sz w:val="24"/>
          <w:szCs w:val="24"/>
        </w:rPr>
        <w:t>Tata Steel is India’s largest steel producer with globally integrated operations. The agent profile was constructed from Tata Steel’s Annual Report and Accounts FY2024-25 and NSE exchange filings.</w:t>
      </w:r>
    </w:p>
    <w:p>
      <w:pPr>
        <w:spacing w:before="60" w:after="60"/>
      </w:pPr>
    </w:p>
    <w:tbl>
      <w:tblPr>
        <w:tblStyle w:val="9"/>
        <w:tblpPr w:leftFromText="180" w:rightFromText="180" w:vertAnchor="text" w:horzAnchor="page" w:tblpX="1723" w:tblpY="287"/>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500"/>
        <w:gridCol w:w="3400"/>
        <w:gridCol w:w="2460"/>
      </w:tblGrid>
      <w:tr>
        <w:trPr>
          <w:tblHeader/>
        </w:trPr>
        <w:tc>
          <w:tcPr>
            <w:tcW w:w="35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Parameter</w:t>
            </w:r>
          </w:p>
        </w:tc>
        <w:tc>
          <w:tcPr>
            <w:tcW w:w="3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Value</w:t>
            </w:r>
          </w:p>
        </w:tc>
        <w:tc>
          <w:tcPr>
            <w:tcW w:w="24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Source</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Annual Revenue (Consolidated)</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USD 22.0 billion (₹2,28,170 Cr)</w:t>
            </w:r>
          </w:p>
        </w:tc>
        <w:tc>
          <w:tcPr>
            <w:tcW w:w="24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EBITDA Margin</w:t>
            </w:r>
          </w:p>
        </w:tc>
        <w:tc>
          <w:tcPr>
            <w:tcW w:w="3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18.0% (USD 3.96 billion)</w:t>
            </w:r>
          </w:p>
        </w:tc>
        <w:tc>
          <w:tcPr>
            <w:tcW w:w="24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Crude Steel Capacity (Global)</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35.6 MTPA</w:t>
            </w:r>
          </w:p>
        </w:tc>
        <w:tc>
          <w:tcPr>
            <w:tcW w:w="24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India Capacity</w:t>
            </w:r>
          </w:p>
        </w:tc>
        <w:tc>
          <w:tcPr>
            <w:tcW w:w="3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21.6 MTPA (Jamshedpur, Kalinganagar, Meramandali)</w:t>
            </w:r>
          </w:p>
        </w:tc>
        <w:tc>
          <w:tcPr>
            <w:tcW w:w="24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Europe Capacity</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12 MTPA (UK &amp; Netherlands; restructuring)</w:t>
            </w:r>
          </w:p>
        </w:tc>
        <w:tc>
          <w:tcPr>
            <w:tcW w:w="24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US Export Volume</w:t>
            </w:r>
          </w:p>
        </w:tc>
        <w:tc>
          <w:tcPr>
            <w:tcW w:w="3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2.1 million MT per annum</w:t>
            </w:r>
          </w:p>
        </w:tc>
        <w:tc>
          <w:tcPr>
            <w:tcW w:w="24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Cash Reserves</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USD 4.2 billion</w:t>
            </w:r>
          </w:p>
        </w:tc>
        <w:tc>
          <w:tcPr>
            <w:tcW w:w="24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Debt-to-Equity Ratio</w:t>
            </w:r>
          </w:p>
        </w:tc>
        <w:tc>
          <w:tcPr>
            <w:tcW w:w="3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0.6x</w:t>
            </w:r>
          </w:p>
        </w:tc>
        <w:tc>
          <w:tcPr>
            <w:tcW w:w="24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Iron Ore Self-Sufficiency</w:t>
            </w:r>
          </w:p>
        </w:tc>
        <w:tc>
          <w:tcPr>
            <w:tcW w:w="3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65% (captive mining)</w:t>
            </w:r>
          </w:p>
        </w:tc>
        <w:tc>
          <w:tcPr>
            <w:tcW w:w="24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Coking Coal Import Dependency</w:t>
            </w:r>
          </w:p>
        </w:tc>
        <w:tc>
          <w:tcPr>
            <w:tcW w:w="3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85% (Australia, Mozambique, Canada)</w:t>
            </w:r>
          </w:p>
        </w:tc>
        <w:tc>
          <w:tcPr>
            <w:tcW w:w="24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Annual Report FY25</w:t>
            </w:r>
          </w:p>
        </w:tc>
      </w:tr>
    </w:tbl>
    <w:p>
      <w:pPr>
        <w:spacing w:before="120" w:after="80"/>
        <w:jc w:val="center"/>
      </w:pPr>
      <w:r>
        <w:rPr>
          <w:rFonts w:ascii="Times New Roman" w:hAnsi="Times New Roman" w:eastAsia="Times New Roman" w:cs="Times New Roman"/>
          <w:b/>
          <w:bCs/>
          <w:i/>
          <w:iCs/>
          <w:sz w:val="24"/>
          <w:szCs w:val="24"/>
        </w:rPr>
        <w:t>Table 4.1: Tata Steel Agent Profile — Key Data</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Key Objectives: </w:t>
      </w:r>
      <w:r>
        <w:rPr>
          <w:rFonts w:ascii="Times New Roman" w:hAnsi="Times New Roman" w:eastAsia="Times New Roman" w:cs="Times New Roman"/>
          <w:sz w:val="24"/>
          <w:szCs w:val="24"/>
        </w:rPr>
        <w:t>Maintain EBITDA above 15%; preserve export diversification across 3+ markets; sustain 18%+ domestic market share.</w:t>
      </w:r>
    </w:p>
    <w:p>
      <w:pPr>
        <w:spacing w:before="80" w:after="8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Key Constraints: </w:t>
      </w:r>
      <w:r>
        <w:rPr>
          <w:rFonts w:ascii="Times New Roman" w:hAnsi="Times New Roman" w:eastAsia="Times New Roman" w:cs="Times New Roman"/>
          <w:sz w:val="24"/>
          <w:szCs w:val="24"/>
        </w:rPr>
        <w:t>Board approval for capex above USD 1 billion; debt servicing obligations; EU climate mandates on European operations.</w:t>
      </w:r>
    </w:p>
    <w:p>
      <w:pPr>
        <w:spacing w:before="80" w:after="80" w:line="360" w:lineRule="auto"/>
        <w:jc w:val="both"/>
        <w:rPr>
          <w:rFonts w:ascii="Times New Roman" w:hAnsi="Times New Roman" w:eastAsia="Times New Roman" w:cs="Times New Roman"/>
          <w:sz w:val="24"/>
          <w:szCs w:val="24"/>
        </w:rPr>
      </w:pPr>
    </w:p>
    <w:p>
      <w:pPr>
        <w:spacing w:before="80" w:after="80" w:line="360" w:lineRule="auto"/>
        <w:jc w:val="both"/>
        <w:rPr>
          <w:rFonts w:ascii="Times New Roman" w:hAnsi="Times New Roman" w:eastAsia="Times New Roman" w:cs="Times New Roman"/>
          <w:sz w:val="24"/>
          <w:szCs w:val="24"/>
        </w:rPr>
      </w:pPr>
    </w:p>
    <w:p>
      <w:pPr>
        <w:pStyle w:val="4"/>
        <w:spacing w:before="200" w:after="120"/>
        <w:jc w:val="left"/>
        <w:outlineLvl w:val="2"/>
      </w:pPr>
      <w:r>
        <w:rPr>
          <w:rFonts w:ascii="Times New Roman" w:hAnsi="Times New Roman" w:eastAsia="Times New Roman" w:cs="Times New Roman"/>
          <w:b/>
          <w:bCs/>
          <w:sz w:val="24"/>
          <w:szCs w:val="24"/>
        </w:rPr>
        <w:t>4.1.2 Government of India (Government Agent)</w:t>
      </w:r>
    </w:p>
    <w:tbl>
      <w:tblPr>
        <w:tblStyle w:val="9"/>
        <w:tblpPr w:leftFromText="180" w:rightFromText="180" w:vertAnchor="text" w:horzAnchor="page" w:tblpX="1504" w:tblpY="319"/>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500"/>
        <w:gridCol w:w="3200"/>
        <w:gridCol w:w="2660"/>
      </w:tblGrid>
      <w:tr>
        <w:trPr>
          <w:tblHeader/>
        </w:trPr>
        <w:tc>
          <w:tcPr>
            <w:tcW w:w="35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Parameter</w:t>
            </w:r>
          </w:p>
        </w:tc>
        <w:tc>
          <w:tcPr>
            <w:tcW w:w="3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Value</w:t>
            </w:r>
          </w:p>
        </w:tc>
        <w:tc>
          <w:tcPr>
            <w:tcW w:w="26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Source</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India Steel Production</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144 MTPA (World #2)</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Ministry of Steel</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Sector GDP Contribution</w:t>
            </w:r>
          </w:p>
        </w:tc>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2.0%</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Ministry of Steel</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Direct Employment</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6 lakh workers</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Ministry of Steel</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Indirect Employment</w:t>
            </w:r>
          </w:p>
        </w:tc>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25 lakh workers</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Ministry of Steel</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Capacity Target 2030</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300 MTPA</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National Steel Policy</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India Steel Exports to US</w:t>
            </w:r>
          </w:p>
        </w:tc>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USD 950 million</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Ministry of Commerce</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US Share of Steel Exports</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8%</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Ministry of Commerce</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Import Duty on Steel</w:t>
            </w:r>
          </w:p>
        </w:tc>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7.5% (most categories)</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CBIC</w:t>
            </w:r>
          </w:p>
        </w:tc>
      </w:tr>
      <w:tr>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Fiscal Deficit</w:t>
            </w:r>
          </w:p>
        </w:tc>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5.1% of GDP</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RBI</w:t>
            </w:r>
          </w:p>
        </w:tc>
      </w:tr>
    </w:tbl>
    <w:p>
      <w:pPr>
        <w:spacing w:before="120" w:after="80"/>
        <w:jc w:val="center"/>
      </w:pPr>
      <w:r>
        <w:rPr>
          <w:rFonts w:ascii="Times New Roman" w:hAnsi="Times New Roman" w:eastAsia="Times New Roman" w:cs="Times New Roman"/>
          <w:b/>
          <w:bCs/>
          <w:i/>
          <w:iCs/>
          <w:sz w:val="24"/>
          <w:szCs w:val="24"/>
        </w:rPr>
        <w:t>Table 4.2: Government of India Agent Profile — Key Data</w:t>
      </w:r>
    </w:p>
    <w:p>
      <w:pPr>
        <w:pStyle w:val="4"/>
        <w:spacing w:before="200" w:after="120"/>
        <w:jc w:val="left"/>
        <w:outlineLvl w:val="2"/>
      </w:pPr>
      <w:r>
        <w:rPr>
          <w:rFonts w:ascii="Times New Roman" w:hAnsi="Times New Roman" w:eastAsia="Times New Roman" w:cs="Times New Roman"/>
          <w:b/>
          <w:bCs/>
          <w:sz w:val="24"/>
          <w:szCs w:val="24"/>
        </w:rPr>
        <w:t>4.1.3 Summary of Other Agent Profiles</w:t>
      </w:r>
    </w:p>
    <w:tbl>
      <w:tblPr>
        <w:tblStyle w:val="9"/>
        <w:tblpPr w:leftFromText="180" w:rightFromText="180" w:vertAnchor="text" w:horzAnchor="page" w:tblpX="1555" w:tblpY="344"/>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500"/>
        <w:gridCol w:w="3500"/>
        <w:gridCol w:w="3360"/>
      </w:tblGrid>
      <w:tr>
        <w:trPr>
          <w:tblHeader/>
        </w:trPr>
        <w:tc>
          <w:tcPr>
            <w:tcW w:w="25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w:t>
            </w:r>
          </w:p>
        </w:tc>
        <w:tc>
          <w:tcPr>
            <w:tcW w:w="35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Key Data</w:t>
            </w:r>
          </w:p>
        </w:tc>
        <w:tc>
          <w:tcPr>
            <w:tcW w:w="33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Key Objectives</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Steel Consumer</w:t>
            </w:r>
          </w:p>
        </w:tc>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45 MT annual consumption; 30% import dependency; price sensitivity 0.75</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Stable supply at competitive prices; minimise cost volatility</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w:t>
            </w:r>
          </w:p>
        </w:tc>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300 MT annual capacity; USD 115/ton; 22% margin; 60% contracted</w:t>
            </w:r>
          </w:p>
        </w:tc>
        <w:tc>
          <w:tcPr>
            <w:tcW w:w="3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Maximise margin; secure long-term contracts</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14-month avg. investigation duration; capture vulnerability 0.40</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Impartial WTO-compliant investigations within 12–18 month timeline</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USD 180B AUM India; 4.2% steel allocation; sentiment sensitivity 0.85</w:t>
            </w:r>
          </w:p>
        </w:tc>
        <w:tc>
          <w:tcPr>
            <w:tcW w:w="3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Alpha generation; drawdown minimisation; MSCI India Materials outperformance</w:t>
            </w:r>
          </w:p>
        </w:tc>
      </w:tr>
    </w:tbl>
    <w:p>
      <w:pPr>
        <w:spacing w:before="120" w:after="80"/>
        <w:jc w:val="center"/>
      </w:pPr>
      <w:r>
        <w:rPr>
          <w:rFonts w:ascii="Times New Roman" w:hAnsi="Times New Roman" w:eastAsia="Times New Roman" w:cs="Times New Roman"/>
          <w:b/>
          <w:bCs/>
          <w:i/>
          <w:iCs/>
          <w:sz w:val="24"/>
          <w:szCs w:val="24"/>
        </w:rPr>
        <w:t>Table 4.3: Summary of Remaining Agent Profiles</w:t>
      </w:r>
    </w:p>
    <w:p>
      <w:pPr>
        <w:pStyle w:val="3"/>
        <w:spacing w:before="300" w:after="160"/>
        <w:jc w:val="left"/>
        <w:outlineLvl w:val="1"/>
      </w:pPr>
      <w:r>
        <w:rPr>
          <w:rFonts w:ascii="Times New Roman" w:hAnsi="Times New Roman" w:eastAsia="Times New Roman" w:cs="Times New Roman"/>
          <w:b/>
          <w:bCs/>
          <w:sz w:val="28"/>
          <w:szCs w:val="28"/>
        </w:rPr>
        <w:t>4.1b Comparative Agent Strength Analysis</w:t>
      </w:r>
    </w:p>
    <w:p>
      <w:pPr>
        <w:spacing w:before="80" w:after="80" w:line="360" w:lineRule="auto"/>
        <w:jc w:val="both"/>
      </w:pPr>
      <w:r>
        <w:rPr>
          <w:rFonts w:ascii="Times New Roman" w:hAnsi="Times New Roman" w:eastAsia="Times New Roman" w:cs="Times New Roman"/>
          <w:sz w:val="24"/>
          <w:szCs w:val="24"/>
        </w:rPr>
        <w:t>Before analysing simulation results, it is useful to compare agent profiles across key strategic dimensions. This comparative view reveals the asymmetric resource positions that shape each agent's adaptation capacity — consistent with the Resource-Based View's (Barney 1991) proposition that resource heterogeneity determines differentiated firm performance under competitive pressure.</w:t>
      </w:r>
    </w:p>
    <w:p>
      <w:pPr>
        <w:spacing w:before="60" w:after="60"/>
      </w:pPr>
    </w:p>
    <w:p>
      <w:pPr>
        <w:spacing w:before="60" w:after="60"/>
      </w:pPr>
    </w:p>
    <w:p>
      <w:pPr>
        <w:spacing w:before="60" w:after="60"/>
      </w:pPr>
    </w:p>
    <w:tbl>
      <w:tblPr>
        <w:tblStyle w:val="9"/>
        <w:tblpPr w:leftFromText="180" w:rightFromText="180" w:vertAnchor="text" w:horzAnchor="page" w:tblpX="892" w:tblpY="337"/>
        <w:tblOverlap w:val="never"/>
        <w:tblW w:w="107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0" w:type="dxa"/>
          <w:left w:w="108" w:type="dxa"/>
          <w:bottom w:w="100" w:type="dxa"/>
          <w:right w:w="108" w:type="dxa"/>
        </w:tblCellMar>
      </w:tblPr>
      <w:tblGrid>
        <w:gridCol w:w="951"/>
        <w:gridCol w:w="1443"/>
        <w:gridCol w:w="1534"/>
        <w:gridCol w:w="2099"/>
        <w:gridCol w:w="1548"/>
        <w:gridCol w:w="1521"/>
        <w:gridCol w:w="1613"/>
      </w:tblGrid>
      <w:tr>
        <w:trPr>
          <w:tblHeader/>
        </w:trPr>
        <w:tc>
          <w:tcPr>
            <w:tcW w:w="951"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Dimension</w:t>
            </w:r>
          </w:p>
        </w:tc>
        <w:tc>
          <w:tcPr>
            <w:tcW w:w="1443"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Tata Steel</w:t>
            </w:r>
          </w:p>
        </w:tc>
        <w:tc>
          <w:tcPr>
            <w:tcW w:w="1534"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Govt of India</w:t>
            </w:r>
          </w:p>
        </w:tc>
        <w:tc>
          <w:tcPr>
            <w:tcW w:w="2099"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Ind. Consumer</w:t>
            </w:r>
          </w:p>
        </w:tc>
        <w:tc>
          <w:tcPr>
            <w:tcW w:w="1548"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Iron Ore Supplier</w:t>
            </w:r>
          </w:p>
        </w:tc>
        <w:tc>
          <w:tcPr>
            <w:tcW w:w="1521"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DGTR</w:t>
            </w:r>
          </w:p>
        </w:tc>
        <w:tc>
          <w:tcPr>
            <w:tcW w:w="1613"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FII Aggregate</w:t>
            </w:r>
          </w:p>
        </w:tc>
      </w:tr>
      <w:tr>
        <w:tc>
          <w:tcPr>
            <w:tcW w:w="95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Financial Strength</w:t>
            </w:r>
          </w:p>
        </w:tc>
        <w:tc>
          <w:tcPr>
            <w:tcW w:w="144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Strong (USD 4.2B cash; D/E 0.6x)</w:t>
            </w:r>
          </w:p>
        </w:tc>
        <w:tc>
          <w:tcPr>
            <w:tcW w:w="153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Constrained (5.1% fiscal deficit)</w:t>
            </w:r>
          </w:p>
        </w:tc>
        <w:tc>
          <w:tcPr>
            <w:tcW w:w="209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Moderate (import-dependent cost exposure)</w:t>
            </w:r>
          </w:p>
        </w:tc>
        <w:tc>
          <w:tcPr>
            <w:tcW w:w="154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Healthy (22% margin)</w:t>
            </w:r>
          </w:p>
        </w:tc>
        <w:tc>
          <w:tcPr>
            <w:tcW w:w="152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Budget-limited regulatory body</w:t>
            </w:r>
          </w:p>
        </w:tc>
        <w:tc>
          <w:tcPr>
            <w:tcW w:w="161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High (USD 180B AUM)</w:t>
            </w:r>
          </w:p>
        </w:tc>
      </w:tr>
      <w:tr>
        <w:tc>
          <w:tcPr>
            <w:tcW w:w="951"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Information Access</w:t>
            </w:r>
          </w:p>
        </w:tc>
        <w:tc>
          <w:tcPr>
            <w:tcW w:w="1443"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Own operations; limited macro</w:t>
            </w:r>
          </w:p>
        </w:tc>
        <w:tc>
          <w:tcPr>
            <w:tcW w:w="1534"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Full macro + policy; limited corporate</w:t>
            </w:r>
          </w:p>
        </w:tc>
        <w:tc>
          <w:tcPr>
            <w:tcW w:w="209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Market prices; limited macro</w:t>
            </w:r>
          </w:p>
        </w:tc>
        <w:tc>
          <w:tcPr>
            <w:tcW w:w="1548"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Customer demand signals</w:t>
            </w:r>
          </w:p>
        </w:tc>
        <w:tc>
          <w:tcPr>
            <w:tcW w:w="1521"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Evidence in investigation record</w:t>
            </w:r>
          </w:p>
        </w:tc>
        <w:tc>
          <w:tcPr>
            <w:tcW w:w="1613"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Public market data; SEBI filings</w:t>
            </w:r>
          </w:p>
        </w:tc>
      </w:tr>
      <w:tr>
        <w:tc>
          <w:tcPr>
            <w:tcW w:w="95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Decision Speed</w:t>
            </w:r>
          </w:p>
        </w:tc>
        <w:tc>
          <w:tcPr>
            <w:tcW w:w="144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Fast (board pre-authorisation for hedges)</w:t>
            </w:r>
          </w:p>
        </w:tc>
        <w:tc>
          <w:tcPr>
            <w:tcW w:w="153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Slow (inter-ministry coordination)</w:t>
            </w:r>
          </w:p>
        </w:tc>
        <w:tc>
          <w:tcPr>
            <w:tcW w:w="209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Medium (procurement contracts)</w:t>
            </w:r>
          </w:p>
        </w:tc>
        <w:tc>
          <w:tcPr>
            <w:tcW w:w="154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Medium (mine scheduling)</w:t>
            </w:r>
          </w:p>
        </w:tc>
        <w:tc>
          <w:tcPr>
            <w:tcW w:w="152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Constrained (procedural timeline)</w:t>
            </w:r>
          </w:p>
        </w:tc>
        <w:tc>
          <w:tcPr>
            <w:tcW w:w="161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Very fast (real-time trading)</w:t>
            </w:r>
          </w:p>
        </w:tc>
      </w:tr>
      <w:tr>
        <w:tc>
          <w:tcPr>
            <w:tcW w:w="951"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Key Constraint</w:t>
            </w:r>
          </w:p>
        </w:tc>
        <w:tc>
          <w:tcPr>
            <w:tcW w:w="1443"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Shareholder returns; debt covenants</w:t>
            </w:r>
          </w:p>
        </w:tc>
        <w:tc>
          <w:tcPr>
            <w:tcW w:w="1534"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 commitments; fiscal deficit</w:t>
            </w:r>
          </w:p>
        </w:tc>
        <w:tc>
          <w:tcPr>
            <w:tcW w:w="2099"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Working capital; supplier concentration</w:t>
            </w:r>
          </w:p>
        </w:tc>
        <w:tc>
          <w:tcPr>
            <w:tcW w:w="1548"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Long-term contract obligations</w:t>
            </w:r>
          </w:p>
        </w:tc>
        <w:tc>
          <w:tcPr>
            <w:tcW w:w="1521"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 Article XIX procedural rules</w:t>
            </w:r>
          </w:p>
        </w:tc>
        <w:tc>
          <w:tcPr>
            <w:tcW w:w="1613"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Benchmark mandates; LP redemptions</w:t>
            </w:r>
          </w:p>
        </w:tc>
      </w:tr>
      <w:tr>
        <w:tc>
          <w:tcPr>
            <w:tcW w:w="95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Adaptation Strategy Type</w:t>
            </w:r>
          </w:p>
        </w:tc>
        <w:tc>
          <w:tcPr>
            <w:tcW w:w="144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Operational (export diversion)</w:t>
            </w:r>
          </w:p>
        </w:tc>
        <w:tc>
          <w:tcPr>
            <w:tcW w:w="1534"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Diplomatic + regulatory (WTO + PLI)</w:t>
            </w:r>
          </w:p>
        </w:tc>
        <w:tc>
          <w:tcPr>
            <w:tcW w:w="2099"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Commercial (stockpiling + lobbying)</w:t>
            </w:r>
          </w:p>
        </w:tc>
        <w:tc>
          <w:tcPr>
            <w:tcW w:w="154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Relational (long-term contracts)</w:t>
            </w:r>
          </w:p>
        </w:tc>
        <w:tc>
          <w:tcPr>
            <w:tcW w:w="1521"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Procedural (safeguard investigation)</w:t>
            </w:r>
          </w:p>
        </w:tc>
        <w:tc>
          <w:tcPr>
            <w:tcW w:w="1613"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Financial (divestment + rotation)</w:t>
            </w:r>
          </w:p>
        </w:tc>
      </w:tr>
    </w:tbl>
    <w:p>
      <w:pPr>
        <w:spacing w:before="120" w:after="80"/>
        <w:jc w:val="center"/>
      </w:pPr>
      <w:r>
        <w:rPr>
          <w:rFonts w:ascii="Times New Roman" w:hAnsi="Times New Roman" w:eastAsia="Times New Roman" w:cs="Times New Roman"/>
          <w:b/>
          <w:bCs/>
          <w:i/>
          <w:iCs/>
          <w:sz w:val="24"/>
          <w:szCs w:val="24"/>
        </w:rPr>
        <w:t>Table 4.4: Comparative Agent Resource and Constraint Profile</w:t>
      </w:r>
    </w:p>
    <w:p>
      <w:pPr>
        <w:spacing w:before="60" w:after="60"/>
      </w:pPr>
    </w:p>
    <w:p>
      <w:pPr>
        <w:spacing w:before="80" w:after="80" w:line="360" w:lineRule="auto"/>
        <w:jc w:val="both"/>
      </w:pPr>
      <w:r>
        <w:rPr>
          <w:rFonts w:ascii="Times New Roman" w:hAnsi="Times New Roman" w:eastAsia="Times New Roman" w:cs="Times New Roman"/>
          <w:sz w:val="24"/>
          <w:szCs w:val="24"/>
        </w:rPr>
        <w:t>The comparative profile reveals a critical asymmetry: Tata Steel is the agent with the fastest decision speed, strongest financial resources, and clearest operational adaptation pathway — which directly explains its superior confidence trajectory. The Government's response is constrained by coordination complexity and WTO legal rules; the DGTR by procedural timelines; and the FII by the speed advantage of financial markets (which also makes it the fastest to react in Round 1).</w:t>
      </w:r>
    </w:p>
    <w:p>
      <w:pPr>
        <w:pStyle w:val="3"/>
        <w:spacing w:before="300" w:after="160"/>
        <w:jc w:val="left"/>
        <w:outlineLvl w:val="1"/>
      </w:pPr>
      <w:r>
        <w:rPr>
          <w:rFonts w:ascii="Times New Roman" w:hAnsi="Times New Roman" w:eastAsia="Times New Roman" w:cs="Times New Roman"/>
          <w:b/>
          <w:bCs/>
          <w:sz w:val="28"/>
          <w:szCs w:val="28"/>
        </w:rPr>
        <w:t>4.2 Shock Scenario: US 50% Tariff on Indian Steel</w:t>
      </w:r>
    </w:p>
    <w:p>
      <w:pPr>
        <w:spacing w:before="120" w:after="80"/>
        <w:jc w:val="center"/>
      </w:pPr>
      <w:r>
        <w:rPr>
          <w:rFonts w:ascii="Times New Roman" w:hAnsi="Times New Roman" w:eastAsia="Times New Roman" w:cs="Times New Roman"/>
          <w:b/>
          <w:bCs/>
          <w:i/>
          <w:iCs/>
          <w:sz w:val="24"/>
          <w:szCs w:val="24"/>
        </w:rPr>
        <w:t>Table 4.4: Shock Scenario Parameters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4000"/>
        <w:gridCol w:w="5360"/>
      </w:tblGrid>
      <w:tr>
        <w:trPr>
          <w:tblHeader/>
        </w:trPr>
        <w:tc>
          <w:tcPr>
            <w:tcW w:w="4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Parameter</w:t>
            </w:r>
          </w:p>
        </w:tc>
        <w:tc>
          <w:tcPr>
            <w:tcW w:w="53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Value</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Scenario ID</w:t>
            </w:r>
          </w:p>
        </w:tc>
        <w:tc>
          <w:tcPr>
            <w:tcW w:w="5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tariff_shock_us_india_2025</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Shock Name</w:t>
            </w:r>
          </w:p>
        </w:tc>
        <w:tc>
          <w:tcPr>
            <w:tcW w:w="5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US 50% Tariff on Indian Steel</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Authority</w:t>
            </w:r>
          </w:p>
        </w:tc>
        <w:tc>
          <w:tcPr>
            <w:tcW w:w="5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Section 232 (National Security)</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Tariff Rate</w:t>
            </w:r>
          </w:p>
        </w:tc>
        <w:tc>
          <w:tcPr>
            <w:tcW w:w="5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50% ad valorem</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Annual Trade Disruption</w:t>
            </w:r>
          </w:p>
        </w:tc>
        <w:tc>
          <w:tcPr>
            <w:tcW w:w="5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USD 1.8 billion</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Diverted Volume (Estimated)</w:t>
            </w:r>
          </w:p>
        </w:tc>
        <w:tc>
          <w:tcPr>
            <w:tcW w:w="5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 million MT</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Scenario Severity</w:t>
            </w:r>
          </w:p>
        </w:tc>
        <w:tc>
          <w:tcPr>
            <w:tcW w:w="5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0.85 / 1.00</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Affected Sectors</w:t>
            </w:r>
          </w:p>
        </w:tc>
        <w:tc>
          <w:tcPr>
            <w:tcW w:w="5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Steel, Manufacturing, Automotive</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HRC Price Index Impact</w:t>
            </w:r>
          </w:p>
        </w:tc>
        <w:tc>
          <w:tcPr>
            <w:tcW w:w="5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0.72 (28% decline relative to baseline)</w:t>
            </w:r>
          </w:p>
        </w:tc>
      </w:tr>
      <w:tr>
        <w:tc>
          <w:tcPr>
            <w:tcW w:w="4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Price Index Impact</w:t>
            </w:r>
          </w:p>
        </w:tc>
        <w:tc>
          <w:tcPr>
            <w:tcW w:w="5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0.95 (5% decline)</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The scenario represents a significant escalation from the 25% Section 232 tariff in force since 2018, effectively eliminating the commercial viability of Indian steel exports to the US market. Indian producers face a forced diversion of 2+ million MT of steel annually into already-competitive Asian and European markets, creating a systemic price compression across alternative destination markets.</w:t>
      </w:r>
    </w:p>
    <w:p>
      <w:pPr>
        <w:pStyle w:val="3"/>
        <w:spacing w:before="300" w:after="160"/>
        <w:jc w:val="left"/>
        <w:outlineLvl w:val="1"/>
      </w:pPr>
      <w:r>
        <w:rPr>
          <w:rFonts w:ascii="Times New Roman" w:hAnsi="Times New Roman" w:eastAsia="Times New Roman" w:cs="Times New Roman"/>
          <w:b/>
          <w:bCs/>
          <w:sz w:val="28"/>
          <w:szCs w:val="28"/>
        </w:rPr>
        <w:t>4.2b Dynamic PESTLE Analysis — Shock Impact Across Rounds</w:t>
      </w:r>
    </w:p>
    <w:p>
      <w:pPr>
        <w:spacing w:before="80" w:after="80" w:line="360" w:lineRule="auto"/>
        <w:jc w:val="both"/>
      </w:pPr>
      <w:r>
        <w:rPr>
          <w:rFonts w:ascii="Times New Roman" w:hAnsi="Times New Roman" w:eastAsia="Times New Roman" w:cs="Times New Roman"/>
          <w:sz w:val="24"/>
          <w:szCs w:val="24"/>
        </w:rPr>
        <w:t>While the static PESTLE analysis introduced in Chapter 2 (Table 2.2) categorises shock impacts at the point of shock onset, a dynamic PESTLE traces how each dimension evolves across the three simulation rounds — capturing the feedback loop between actor responses and environmental conditions. This dynamic application of PESTLE is one of the analytical innovations the simulation enables.</w:t>
      </w:r>
    </w:p>
    <w:p>
      <w:pPr>
        <w:spacing w:before="60" w:after="60"/>
      </w:pPr>
    </w:p>
    <w:p>
      <w:pPr>
        <w:spacing w:before="120" w:after="80"/>
        <w:jc w:val="center"/>
      </w:pPr>
      <w:r>
        <w:rPr>
          <w:rFonts w:ascii="Times New Roman" w:hAnsi="Times New Roman" w:eastAsia="Times New Roman" w:cs="Times New Roman"/>
          <w:b/>
          <w:bCs/>
          <w:i/>
          <w:iCs/>
          <w:sz w:val="24"/>
          <w:szCs w:val="24"/>
        </w:rPr>
        <w:t>Table 4.5: Dynamic PESTLE Analysis — Impact Evolution Across Simulation Rounds</w:t>
      </w:r>
    </w:p>
    <w:tbl>
      <w:tblPr>
        <w:tblStyle w:val="9"/>
        <w:tblW w:w="103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1700"/>
        <w:gridCol w:w="2900"/>
        <w:gridCol w:w="2900"/>
        <w:gridCol w:w="2828"/>
      </w:tblGrid>
      <w:tr>
        <w:trPr>
          <w:tblHeader/>
        </w:trPr>
        <w:tc>
          <w:tcPr>
            <w:tcW w:w="17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Dimension</w:t>
            </w:r>
          </w:p>
        </w:tc>
        <w:tc>
          <w:tcPr>
            <w:tcW w:w="29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 1 (Shock onset)</w:t>
            </w:r>
          </w:p>
        </w:tc>
        <w:tc>
          <w:tcPr>
            <w:tcW w:w="29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 2 (Adaptation phase)</w:t>
            </w:r>
          </w:p>
        </w:tc>
        <w:tc>
          <w:tcPr>
            <w:tcW w:w="2828"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 3 (Stabilisation)</w:t>
            </w:r>
          </w:p>
        </w:tc>
      </w:tr>
      <w:tr>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Political</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India-US trade relationship strained; WTO challenge announced; domestic political pressure high</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Government package expanded; WTO challenge formal filing preparation; bilateral diplomatic channels activated</w:t>
            </w:r>
          </w:p>
        </w:tc>
        <w:tc>
          <w:tcPr>
            <w:tcW w:w="282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WTO formal complaint filed; India signals firm stance; safeguard duty provides domestic political cover</w:t>
            </w:r>
          </w:p>
        </w:tc>
      </w:tr>
      <w:tr>
        <w:tc>
          <w:tcPr>
            <w:tcW w:w="1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Economic</w:t>
            </w:r>
          </w:p>
        </w:tc>
        <w:tc>
          <w:tcPr>
            <w:tcW w:w="29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USD 1.8B export revenue at risk; HRC price softening begins; FII sell-off of USD 1.7B; equity markets volatile</w:t>
            </w:r>
          </w:p>
        </w:tc>
        <w:tc>
          <w:tcPr>
            <w:tcW w:w="29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Tata Steel margins stabilising through export diversion; domestic HRC price 5–8% below pre-shock; iron ore pricing under negotiation</w:t>
            </w:r>
          </w:p>
        </w:tc>
        <w:tc>
          <w:tcPr>
            <w:tcW w:w="2828"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Domestic HRC price stabilised by DGTR safeguard duty; Tata Steel EBITDA impact estimated at 2–3% on diverted volumes; FII outflow continues</w:t>
            </w:r>
          </w:p>
        </w:tc>
      </w:tr>
      <w:tr>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Social</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Employment protection concerns elevated; public sector steel producer unions watchful; media coverage of US trade aggression</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Government PLI package provides visible employment protection signal; downstream steel consumers (automotive, construction) cautious</w:t>
            </w:r>
          </w:p>
        </w:tc>
        <w:tc>
          <w:tcPr>
            <w:tcW w:w="282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consumer's subsidy demand addressed in ministry consultations; employment stabilisation narrative strengthens</w:t>
            </w:r>
          </w:p>
        </w:tc>
      </w:tr>
      <w:tr>
        <w:tc>
          <w:tcPr>
            <w:tcW w:w="1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Technological</w:t>
            </w:r>
          </w:p>
        </w:tc>
        <w:tc>
          <w:tcPr>
            <w:tcW w:w="29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No material change; existing production technology set; HRC grade flexibility assessment underway</w:t>
            </w:r>
          </w:p>
        </w:tc>
        <w:tc>
          <w:tcPr>
            <w:tcW w:w="29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Export logistics optimisation for EU/ASEAN routes — documentation, certification, vessel scheduling</w:t>
            </w:r>
          </w:p>
        </w:tc>
        <w:tc>
          <w:tcPr>
            <w:tcW w:w="2828"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Grade mix optimisation for alternative markets (EU requires different certifications than US market)</w:t>
            </w:r>
          </w:p>
        </w:tc>
      </w:tr>
      <w:tr>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Legal</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Section 232 challenge filed with WTO; DGTR safeguard investigation initiated; all within WTO procedural rules</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WTO Dispute Panel formation process; DGTR evidentiary phase — domestic industry questionnaires issued</w:t>
            </w:r>
          </w:p>
        </w:tc>
        <w:tc>
          <w:tcPr>
            <w:tcW w:w="2828"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WTO DS panel formation; DGTR provisional 200-day duty imposed — consistent with Article XIX Emergency Action</w:t>
            </w:r>
          </w:p>
        </w:tc>
      </w:tr>
      <w:tr>
        <w:tc>
          <w:tcPr>
            <w:tcW w:w="1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Environmental</w:t>
            </w:r>
          </w:p>
        </w:tc>
        <w:tc>
          <w:tcPr>
            <w:tcW w:w="29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No immediate change; production levels maintained</w:t>
            </w:r>
          </w:p>
        </w:tc>
        <w:tc>
          <w:tcPr>
            <w:tcW w:w="29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European export increase raises CBAM compliance assessment urgency for EU-bound HRC</w:t>
            </w:r>
          </w:p>
        </w:tc>
        <w:tc>
          <w:tcPr>
            <w:tcW w:w="2828"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CBAM compliance costs factor into EU route margin calculation; slight dampening of EU diversion upside</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The dynamic PESTLE reveals that while the initial shock is primarily Economic and Political, it rapidly acquires Legal, Social, and Environmental dimensions through the ecosystem's response. The DGTR's safeguard investigation (Legal) and the Government's employment protection programme (Social) are responses to the initial Economic shock — demonstrating how a single external event mobilises multiple PESTLE dimensions simultaneously, creating a complex and interdependent response environment that only multi-actor simulation can fully capture.</w:t>
      </w:r>
    </w:p>
    <w:p>
      <w:pPr>
        <w:pStyle w:val="3"/>
        <w:spacing w:before="300" w:after="160"/>
        <w:jc w:val="left"/>
        <w:outlineLvl w:val="1"/>
      </w:pPr>
      <w:r>
        <w:rPr>
          <w:rFonts w:ascii="Times New Roman" w:hAnsi="Times New Roman" w:eastAsia="Times New Roman" w:cs="Times New Roman"/>
          <w:b/>
          <w:bCs/>
          <w:sz w:val="28"/>
          <w:szCs w:val="28"/>
        </w:rPr>
        <w:t>4.3 Simulation Results — Round-by-Round Analysis</w:t>
      </w:r>
    </w:p>
    <w:p>
      <w:pPr>
        <w:spacing w:before="80" w:after="80" w:line="360" w:lineRule="auto"/>
        <w:jc w:val="both"/>
      </w:pPr>
      <w:r>
        <w:rPr>
          <w:rFonts w:ascii="Times New Roman" w:hAnsi="Times New Roman" w:eastAsia="Times New Roman" w:cs="Times New Roman"/>
          <w:sz w:val="24"/>
          <w:szCs w:val="24"/>
        </w:rPr>
        <w:t>The simulation was run for three rounds with six agents. The following tables present the complete agent decision record.</w:t>
      </w:r>
    </w:p>
    <w:p>
      <w:pPr>
        <w:pStyle w:val="4"/>
        <w:spacing w:before="200" w:after="120"/>
        <w:jc w:val="left"/>
        <w:outlineLvl w:val="2"/>
      </w:pPr>
      <w:r>
        <w:rPr>
          <w:rFonts w:ascii="Times New Roman" w:hAnsi="Times New Roman" w:eastAsia="Times New Roman" w:cs="Times New Roman"/>
          <w:b/>
          <w:bCs/>
          <w:sz w:val="24"/>
          <w:szCs w:val="24"/>
        </w:rPr>
        <w:t>4.3.1 Round 1 Agent Decisions</w:t>
      </w:r>
    </w:p>
    <w:p>
      <w:pPr>
        <w:spacing w:before="120" w:after="80"/>
        <w:jc w:val="center"/>
      </w:pPr>
      <w:r>
        <w:rPr>
          <w:rFonts w:ascii="Times New Roman" w:hAnsi="Times New Roman" w:eastAsia="Times New Roman" w:cs="Times New Roman"/>
          <w:b/>
          <w:bCs/>
          <w:i/>
          <w:iCs/>
          <w:sz w:val="24"/>
          <w:szCs w:val="24"/>
        </w:rPr>
        <w:t>Table 4.5: Round 1 — Agent Decisions and Public Signals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000"/>
        <w:gridCol w:w="2300"/>
        <w:gridCol w:w="1400"/>
        <w:gridCol w:w="3660"/>
      </w:tblGrid>
      <w:tr>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w:t>
            </w:r>
          </w:p>
        </w:tc>
        <w:tc>
          <w:tcPr>
            <w:tcW w:w="23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Primary Action</w:t>
            </w:r>
          </w:p>
        </w:tc>
        <w:tc>
          <w:tcPr>
            <w:tcW w:w="1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Confidence</w:t>
            </w:r>
          </w:p>
        </w:tc>
        <w:tc>
          <w:tcPr>
            <w:tcW w:w="36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Public Signal (Summary)</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export_diversion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0.78</w:t>
            </w:r>
          </w:p>
        </w:tc>
        <w:tc>
          <w:tcPr>
            <w:tcW w:w="3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Divert Indian exports to EU and ASEAN; activate financial hedges.</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Govt of India</w:t>
            </w:r>
          </w:p>
        </w:tc>
        <w:tc>
          <w:tcPr>
            <w:tcW w:w="23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wto_dispute</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0.72</w:t>
            </w:r>
          </w:p>
        </w:tc>
        <w:tc>
          <w:tcPr>
            <w:tcW w:w="3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Challenge US Section 232 at WTO; roll out time-bound PLI subsidy to protect jobs.</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switch_suppliers</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0.65</w:t>
            </w:r>
          </w:p>
        </w:tc>
        <w:tc>
          <w:tcPr>
            <w:tcW w:w="3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Reaffirm preference for domestic steel as export flood keeps local prices competitive.</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w:t>
            </w:r>
          </w:p>
        </w:tc>
        <w:tc>
          <w:tcPr>
            <w:tcW w:w="23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hold_prices</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0.70</w:t>
            </w:r>
          </w:p>
        </w:tc>
        <w:tc>
          <w:tcPr>
            <w:tcW w:w="3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Maintain stable pricing; emphasis on supply reliability over spot volatility.</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23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open_investigation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0.70</w:t>
            </w:r>
          </w:p>
        </w:tc>
        <w:tc>
          <w:tcPr>
            <w:tcW w:w="3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Initiate safeguard investigation on steel imports following US Section 232 measures.</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23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sell</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0.82</w:t>
            </w:r>
          </w:p>
        </w:tc>
        <w:tc>
          <w:tcPr>
            <w:tcW w:w="3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Slash India steel exposure by USD 1.7B on Section 232 shock; rotate to pharma/IT.</w:t>
            </w:r>
          </w:p>
        </w:tc>
      </w:tr>
    </w:tbl>
    <w:p>
      <w:pPr>
        <w:spacing w:before="60" w:after="60"/>
      </w:pPr>
    </w:p>
    <w:p>
      <w:pPr>
        <w:spacing w:before="80" w:after="80" w:line="360" w:lineRule="auto"/>
        <w:jc w:val="both"/>
      </w:pPr>
      <w:r>
        <w:rPr>
          <w:rFonts w:ascii="Times New Roman" w:hAnsi="Times New Roman" w:eastAsia="Times New Roman" w:cs="Times New Roman"/>
          <w:sz w:val="24"/>
          <w:szCs w:val="24"/>
        </w:rPr>
        <w:t>Round 1 Assessment: The immediate ecosystem response is characterised by decisive, first-order reactions. Tata Steel moves swiftly to divert export volumes; the Government signals WTO challenge and domestic support; the DGTR opens a safeguard investigation pre-emptively; and FIIs liquidate USD 1.7B of India steel equity. The consumer’s relatively low confidence (0.65) reflects uncertainty about the magnitude and duration of domestic price effects.</w:t>
      </w:r>
    </w:p>
    <w:p>
      <w:pPr>
        <w:pStyle w:val="4"/>
        <w:spacing w:before="200" w:after="120"/>
        <w:jc w:val="left"/>
        <w:outlineLvl w:val="2"/>
      </w:pPr>
      <w:r>
        <w:rPr>
          <w:rFonts w:ascii="Times New Roman" w:hAnsi="Times New Roman" w:eastAsia="Times New Roman" w:cs="Times New Roman"/>
          <w:b/>
          <w:bCs/>
          <w:sz w:val="24"/>
          <w:szCs w:val="24"/>
        </w:rPr>
        <w:t>4.3.2 Round 2 Agent Decisions</w:t>
      </w:r>
    </w:p>
    <w:p>
      <w:pPr>
        <w:spacing w:before="120" w:after="80"/>
        <w:jc w:val="center"/>
      </w:pPr>
      <w:r>
        <w:rPr>
          <w:rFonts w:ascii="Times New Roman" w:hAnsi="Times New Roman" w:eastAsia="Times New Roman" w:cs="Times New Roman"/>
          <w:b/>
          <w:bCs/>
          <w:i/>
          <w:iCs/>
          <w:sz w:val="24"/>
          <w:szCs w:val="24"/>
        </w:rPr>
        <w:t>Table 4.6: Round 2 — Agent Decisions and Public Signals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000"/>
        <w:gridCol w:w="2600"/>
        <w:gridCol w:w="1400"/>
        <w:gridCol w:w="3360"/>
      </w:tblGrid>
      <w:tr>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w:t>
            </w:r>
          </w:p>
        </w:tc>
        <w:tc>
          <w:tcPr>
            <w:tcW w:w="26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Primary Action</w:t>
            </w:r>
          </w:p>
        </w:tc>
        <w:tc>
          <w:tcPr>
            <w:tcW w:w="1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Confidence</w:t>
            </w:r>
          </w:p>
        </w:tc>
        <w:tc>
          <w:tcPr>
            <w:tcW w:w="33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Public Signal (Summary)</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export_diversion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0.84</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Complete redirection of export footprint; fully exited US spot market; currency risk hedged on EU/ASEAN flows.</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Govt of India</w:t>
            </w:r>
          </w:p>
        </w:tc>
        <w:tc>
          <w:tcPr>
            <w:tcW w:w="2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wto_dispute</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0.76</w:t>
            </w:r>
          </w:p>
        </w:tc>
        <w:tc>
          <w:tcPr>
            <w:tcW w:w="3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Expand domestic steel support package to protect 500,000 jobs; WTO challenge continues.</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stockpile</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0.72</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Build selective inventory to exploit temporary domestic price dip triggered by trade diversion.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w:t>
            </w:r>
          </w:p>
        </w:tc>
        <w:tc>
          <w:tcPr>
            <w:tcW w:w="2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negotiate_long_term</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0.75</w:t>
            </w:r>
          </w:p>
        </w:tc>
        <w:tc>
          <w:tcPr>
            <w:tcW w:w="3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Offer 3-year supply contracts linked to 62% Fe index; share margin predictability with domestic steelmakers.</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open_investigation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0.75</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Intensify safeguard investigation on steel imports to counter imminent surge from US tariff diversion.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2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sector_rotation</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0.78</w:t>
            </w:r>
          </w:p>
        </w:tc>
        <w:tc>
          <w:tcPr>
            <w:tcW w:w="3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Trim India Materials sleeve by 210 bps; rotate proceeds to defensives and INR short.</w:t>
            </w:r>
          </w:p>
        </w:tc>
      </w:tr>
    </w:tbl>
    <w:p>
      <w:pPr>
        <w:spacing w:before="60" w:after="60"/>
      </w:pPr>
    </w:p>
    <w:p>
      <w:pPr>
        <w:spacing w:before="80" w:after="80" w:line="360" w:lineRule="auto"/>
        <w:jc w:val="both"/>
      </w:pPr>
      <w:r>
        <w:rPr>
          <w:rFonts w:ascii="Times New Roman" w:hAnsi="Times New Roman" w:eastAsia="Times New Roman" w:cs="Times New Roman"/>
          <w:sz w:val="24"/>
          <w:szCs w:val="24"/>
        </w:rPr>
        <w:t>Round 2 Assessment: The ecosystem enters a consolidation phase. Tata Steel’s confidence increases to 0.84, reflecting successful execution of its diversion strategy. The consumer agent pivots from switching suppliers to stockpiling — a second-order opportunistic response to the domestic price dip. Iron ore suppliers move from price-holding to seeking long-term contracts, reflecting strategic repositioning under uncertainty. FIIs shift from pure selling to sector rotation, suggesting a more calculated portfolio adjustment.</w:t>
      </w:r>
    </w:p>
    <w:p>
      <w:pPr>
        <w:pStyle w:val="4"/>
        <w:spacing w:before="200" w:after="120"/>
        <w:jc w:val="left"/>
        <w:outlineLvl w:val="2"/>
      </w:pPr>
      <w:r>
        <w:rPr>
          <w:rFonts w:ascii="Times New Roman" w:hAnsi="Times New Roman" w:eastAsia="Times New Roman" w:cs="Times New Roman"/>
          <w:b/>
          <w:bCs/>
          <w:sz w:val="24"/>
          <w:szCs w:val="24"/>
        </w:rPr>
        <w:t>4.3.3 Round 3 Agent Decisions</w:t>
      </w:r>
    </w:p>
    <w:p>
      <w:pPr>
        <w:spacing w:before="120" w:after="80"/>
        <w:jc w:val="center"/>
      </w:pPr>
      <w:r>
        <w:rPr>
          <w:rFonts w:ascii="Times New Roman" w:hAnsi="Times New Roman" w:eastAsia="Times New Roman" w:cs="Times New Roman"/>
          <w:b/>
          <w:bCs/>
          <w:i/>
          <w:iCs/>
          <w:sz w:val="24"/>
          <w:szCs w:val="24"/>
        </w:rPr>
        <w:t>Table 4.7: Round 3 — Agent Decisions and Public Signals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1987"/>
        <w:gridCol w:w="2640"/>
        <w:gridCol w:w="1399"/>
        <w:gridCol w:w="3334"/>
      </w:tblGrid>
      <w:tr>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w:t>
            </w:r>
          </w:p>
        </w:tc>
        <w:tc>
          <w:tcPr>
            <w:tcW w:w="26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Primary Action</w:t>
            </w:r>
          </w:p>
        </w:tc>
        <w:tc>
          <w:tcPr>
            <w:tcW w:w="1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Confidence</w:t>
            </w:r>
          </w:p>
        </w:tc>
        <w:tc>
          <w:tcPr>
            <w:tcW w:w="33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Public Signal (Summary)</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export_diversion</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0.87</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Finalise re-routing of all erstwhile US volumes to Europe and Southeast Asia; comprehensive currency-commodity hedge in place.</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Govt of India</w:t>
            </w:r>
          </w:p>
        </w:tc>
        <w:tc>
          <w:tcPr>
            <w:tcW w:w="2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wto_dispute</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0.79</w:t>
            </w:r>
          </w:p>
        </w:tc>
        <w:tc>
          <w:tcPr>
            <w:tcW w:w="3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File WTO compliance complaint against US Section 232 steel duties; roll out time-bound steel industry support scheme.</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demand_subsidy</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0.68</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Request temporary input subsidy to maintain capacity and protect 500,000 downstream jobs.</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w:t>
            </w:r>
          </w:p>
        </w:tc>
        <w:tc>
          <w:tcPr>
            <w:tcW w:w="2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negotiate_long_term</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0.77</w:t>
            </w:r>
          </w:p>
        </w:tc>
        <w:tc>
          <w:tcPr>
            <w:tcW w:w="3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Freeze spot offers; prioritise long-term pricing discussions with domestic mills.</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2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impose_provisional_duty</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0.80</w:t>
            </w:r>
          </w:p>
        </w:tc>
        <w:tc>
          <w:tcPr>
            <w:tcW w:w="3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Impose 200-day provisional 20% safeguard duty on HRC imports to counter critical surge from US Section 232 diversion.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2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sell</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0.85</w:t>
            </w:r>
          </w:p>
        </w:tc>
        <w:tc>
          <w:tcPr>
            <w:tcW w:w="3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Trim India steel USD 1.4B additional; cite global overcapacity and punitive US duty.</w:t>
            </w:r>
          </w:p>
        </w:tc>
      </w:tr>
    </w:tbl>
    <w:p>
      <w:pPr>
        <w:spacing w:before="60" w:after="60"/>
      </w:pPr>
    </w:p>
    <w:p>
      <w:pPr>
        <w:spacing w:before="80" w:after="80" w:line="360" w:lineRule="auto"/>
        <w:jc w:val="both"/>
      </w:pPr>
      <w:r>
        <w:rPr>
          <w:rFonts w:ascii="Times New Roman" w:hAnsi="Times New Roman" w:eastAsia="Times New Roman" w:cs="Times New Roman"/>
          <w:sz w:val="24"/>
          <w:szCs w:val="24"/>
        </w:rPr>
        <w:t>Round 3 Assessment: The DGTR takes the decisive regulatory action of the simulation — imposing a 20% provisional safeguard duty. This is the single most consequential policy development of the run, as it directly protects domestic producers from the import surge triggered by global trade diversion. Tata Steel reaches peak confidence (0.87), having successfully executed a complete export re-routing strategy. FIIs return to selling, indicating persistent negative sentiment toward Indian steel equities.</w:t>
      </w:r>
    </w:p>
    <w:p>
      <w:pPr>
        <w:pStyle w:val="3"/>
        <w:spacing w:before="300" w:after="160"/>
        <w:jc w:val="left"/>
        <w:outlineLvl w:val="1"/>
      </w:pPr>
      <w:r>
        <w:rPr>
          <w:rFonts w:ascii="Times New Roman" w:hAnsi="Times New Roman" w:eastAsia="Times New Roman" w:cs="Times New Roman"/>
          <w:b/>
          <w:bCs/>
          <w:sz w:val="28"/>
          <w:szCs w:val="28"/>
        </w:rPr>
        <w:t>4.3b Cross-Round Comparison: Strategy Evolution</w:t>
      </w:r>
    </w:p>
    <w:p>
      <w:pPr>
        <w:spacing w:before="80" w:after="80" w:line="360" w:lineRule="auto"/>
        <w:jc w:val="both"/>
      </w:pPr>
      <w:r>
        <w:rPr>
          <w:rFonts w:ascii="Times New Roman" w:hAnsi="Times New Roman" w:eastAsia="Times New Roman" w:cs="Times New Roman"/>
          <w:sz w:val="24"/>
          <w:szCs w:val="24"/>
        </w:rPr>
        <w:t>Comparing agent strategies across all three rounds reveals how the ecosystem collectively processes the initial shock and converges on adapted equilibria. The table below summarises the primary action category for each agent across rounds, illustrating strategic evolution at the ecosystem level.</w:t>
      </w:r>
    </w:p>
    <w:p>
      <w:pPr>
        <w:spacing w:before="60" w:after="60"/>
      </w:pPr>
    </w:p>
    <w:p>
      <w:pPr>
        <w:spacing w:before="120" w:after="80"/>
        <w:jc w:val="center"/>
      </w:pPr>
      <w:r>
        <w:rPr>
          <w:rFonts w:ascii="Times New Roman" w:hAnsi="Times New Roman" w:eastAsia="Times New Roman" w:cs="Times New Roman"/>
          <w:b/>
          <w:bCs/>
          <w:i/>
          <w:iCs/>
          <w:sz w:val="24"/>
          <w:szCs w:val="24"/>
        </w:rPr>
        <w:t>Table 4.8: Cross-Round Strategy Evolution Matrix</w:t>
      </w: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000"/>
        <w:gridCol w:w="2200"/>
        <w:gridCol w:w="2200"/>
        <w:gridCol w:w="2200"/>
        <w:gridCol w:w="1760"/>
      </w:tblGrid>
      <w:tr>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w:t>
            </w:r>
          </w:p>
        </w:tc>
        <w:tc>
          <w:tcPr>
            <w:tcW w:w="2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 1 Strategy</w:t>
            </w:r>
          </w:p>
        </w:tc>
        <w:tc>
          <w:tcPr>
            <w:tcW w:w="2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 2 Strategy</w:t>
            </w:r>
          </w:p>
        </w:tc>
        <w:tc>
          <w:tcPr>
            <w:tcW w:w="2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 3 Strategy</w:t>
            </w:r>
          </w:p>
        </w:tc>
        <w:tc>
          <w:tcPr>
            <w:tcW w:w="17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Theoretical Pattern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Market Diversion (immediate)</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Market Diversion (consolidation)</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Market Diversion (full execution)</w:t>
            </w:r>
          </w:p>
        </w:tc>
        <w:tc>
          <w:tcPr>
            <w:tcW w:w="1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Dynamic capability deployment; confidence-building</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Govt of India</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 Challenge (signal)</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 Challenge + PLI (implementation)</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 Complaint (formal filing)</w:t>
            </w:r>
          </w:p>
        </w:tc>
        <w:tc>
          <w:tcPr>
            <w:tcW w:w="1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Institutional script replication; escalating commitment</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Market Adaptation (passive)</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Stockpiling (opportunistic)</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Political Lobbying (proactive)</w:t>
            </w:r>
          </w:p>
        </w:tc>
        <w:tc>
          <w:tcPr>
            <w:tcW w:w="1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Problemistic search escalation (Cyert &amp; March)</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Price Maintenance (defensive)</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Long-term Contracts (repositioning)</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Contract Negotiations (formalising)</w:t>
            </w:r>
          </w:p>
        </w:tc>
        <w:tc>
          <w:tcPr>
            <w:tcW w:w="1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TCE-predicted relational governance shift</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Investigation Initiation (procedural)</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Investigation Deepening (evidentiary)</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Provisional Duty (regulatory action)</w:t>
            </w:r>
          </w:p>
        </w:tc>
        <w:tc>
          <w:tcPr>
            <w:tcW w:w="1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Institutional procedure execution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Heavy Sell (panic response)</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Sector Rotation (tactical)</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Additional Sell (sustained negative)</w:t>
            </w:r>
          </w:p>
        </w:tc>
        <w:tc>
          <w:tcPr>
            <w:tcW w:w="1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Prospect theory loss aversion; negative sentiment dominance</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The cross-round evolution reveals three distinct strategic patterns: (1) consistent escalation within a single strategy track (Tata Steel, Government, DGTR); (2) pivoting to new strategy categories as the situation evolves (Industrial Consumer, Iron Ore Suppliers); and (3) episodic response driven by market sentiment rather than operational logic (FII). These patterns are consistent with the theoretical frameworks introduced in Chapter 2 — demonstrating that the simulation outputs are not arbitrary AI outputs but theoretically coherent representations of real-world strategic behaviour.</w:t>
      </w:r>
    </w:p>
    <w:p>
      <w:pPr>
        <w:pStyle w:val="3"/>
        <w:spacing w:before="300" w:after="160"/>
        <w:jc w:val="left"/>
        <w:outlineLvl w:val="1"/>
      </w:pPr>
      <w:r>
        <w:rPr>
          <w:rFonts w:ascii="Times New Roman" w:hAnsi="Times New Roman" w:eastAsia="Times New Roman" w:cs="Times New Roman"/>
          <w:b/>
          <w:bCs/>
          <w:sz w:val="28"/>
          <w:szCs w:val="28"/>
        </w:rPr>
        <w:t>4.4 Ecosystem-Level Analysis</w:t>
      </w:r>
    </w:p>
    <w:p>
      <w:pPr>
        <w:pStyle w:val="4"/>
        <w:spacing w:before="200" w:after="120"/>
        <w:jc w:val="left"/>
        <w:outlineLvl w:val="2"/>
      </w:pPr>
      <w:r>
        <w:rPr>
          <w:rFonts w:ascii="Times New Roman" w:hAnsi="Times New Roman" w:eastAsia="Times New Roman" w:cs="Times New Roman"/>
          <w:b/>
          <w:bCs/>
          <w:sz w:val="24"/>
          <w:szCs w:val="24"/>
        </w:rPr>
        <w:t>4.4.1 Agent Confidence Trajectories</w:t>
      </w:r>
    </w:p>
    <w:p>
      <w:pPr>
        <w:spacing w:before="120" w:after="80"/>
        <w:jc w:val="center"/>
      </w:pPr>
      <w:r>
        <w:rPr>
          <w:rFonts w:ascii="Times New Roman" w:hAnsi="Times New Roman" w:eastAsia="Times New Roman" w:cs="Times New Roman"/>
          <w:b/>
          <w:bCs/>
          <w:i/>
          <w:iCs/>
          <w:sz w:val="24"/>
          <w:szCs w:val="24"/>
        </w:rPr>
        <w:t>Table 4.8: Agent Confidence Across Simulation Rounds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500"/>
        <w:gridCol w:w="1400"/>
        <w:gridCol w:w="1400"/>
        <w:gridCol w:w="1400"/>
        <w:gridCol w:w="2660"/>
      </w:tblGrid>
      <w:tr>
        <w:trPr>
          <w:tblHeader/>
        </w:trPr>
        <w:tc>
          <w:tcPr>
            <w:tcW w:w="25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w:t>
            </w:r>
          </w:p>
        </w:tc>
        <w:tc>
          <w:tcPr>
            <w:tcW w:w="1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 1</w:t>
            </w:r>
          </w:p>
        </w:tc>
        <w:tc>
          <w:tcPr>
            <w:tcW w:w="1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 2</w:t>
            </w:r>
          </w:p>
        </w:tc>
        <w:tc>
          <w:tcPr>
            <w:tcW w:w="1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 3</w:t>
            </w:r>
          </w:p>
        </w:tc>
        <w:tc>
          <w:tcPr>
            <w:tcW w:w="26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Trend</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0.78</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0.84</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0.87</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Increasing (successful adaptation)</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Government of India</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0.72</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0.76</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0.79</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Increasing (strategy consolidation)</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0.65</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0.72</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0.68</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Variable (role shift creates uncertainty)</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0.70</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0.75</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0.77</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Increasing (long-term positioning)</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0.75</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0.80</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Increasing (regulatory action clarity)</w:t>
            </w:r>
          </w:p>
        </w:tc>
      </w:tr>
      <w:tr>
        <w:tc>
          <w:tcPr>
            <w:tcW w:w="2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0.82</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0.78</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0.85</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Variable (macro negative sentiment)</w:t>
            </w:r>
          </w:p>
        </w:tc>
      </w:tr>
    </w:tbl>
    <w:p>
      <w:pPr>
        <w:spacing w:before="60" w:after="60"/>
      </w:pPr>
    </w:p>
    <w:p>
      <w:pPr>
        <w:spacing w:before="80" w:after="80" w:line="360" w:lineRule="auto"/>
        <w:jc w:val="both"/>
      </w:pPr>
      <w:r>
        <w:rPr>
          <w:rFonts w:ascii="Times New Roman" w:hAnsi="Times New Roman" w:eastAsia="Times New Roman" w:cs="Times New Roman"/>
          <w:sz w:val="24"/>
          <w:szCs w:val="24"/>
        </w:rPr>
        <w:t>Confidence trajectories reveal differentiated adaptation patterns. Tata Steel exhibits the most consistent confidence increase, reflecting a clear and executable strategic response (export diversion) that gains clarity as the simulation progresses. The Government and DGTR also show increasing confidence as their respective strategies advance through procedural stages. The consumer agent’s variable confidence reflects genuine strategic ambiguity — its role in the ecosystem shifts from passive adaptation to active lobbying. FII confidence is episodic, spiking when liquidation decisions are clear and dipping when strategic ambiguity increases.</w:t>
      </w:r>
    </w:p>
    <w:p>
      <w:pPr>
        <w:pStyle w:val="4"/>
        <w:spacing w:before="200" w:after="120"/>
        <w:jc w:val="left"/>
        <w:outlineLvl w:val="2"/>
      </w:pPr>
      <w:r>
        <w:rPr>
          <w:rFonts w:ascii="Times New Roman" w:hAnsi="Times New Roman" w:eastAsia="Times New Roman" w:cs="Times New Roman"/>
          <w:b/>
          <w:bCs/>
          <w:sz w:val="24"/>
          <w:szCs w:val="24"/>
        </w:rPr>
        <w:t>4.4.2 Fear-Greed Index Evolution</w:t>
      </w:r>
    </w:p>
    <w:p>
      <w:pPr>
        <w:spacing w:before="120" w:after="80"/>
        <w:jc w:val="center"/>
      </w:pPr>
      <w:r>
        <w:rPr>
          <w:rFonts w:ascii="Times New Roman" w:hAnsi="Times New Roman" w:eastAsia="Times New Roman" w:cs="Times New Roman"/>
          <w:b/>
          <w:bCs/>
          <w:i/>
          <w:iCs/>
          <w:sz w:val="24"/>
          <w:szCs w:val="24"/>
        </w:rPr>
        <w:t>Table 4.9: Final Round Fear-Greed Index by Agent (Scale: 0 = Maximum Fear, 10 = Maximum Greed)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800"/>
        <w:gridCol w:w="2800"/>
        <w:gridCol w:w="3760"/>
      </w:tblGrid>
      <w:tr>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w:t>
            </w:r>
          </w:p>
        </w:tc>
        <w:tc>
          <w:tcPr>
            <w:tcW w:w="28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Final Fear-Greed Index</w:t>
            </w:r>
          </w:p>
        </w:tc>
        <w:tc>
          <w:tcPr>
            <w:tcW w:w="37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Interpretation</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0.0 (initial: 5.5)</w:t>
            </w:r>
          </w:p>
        </w:tc>
        <w:tc>
          <w:tcPr>
            <w:tcW w:w="3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Extreme fear; crisis management mode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Government of India</w:t>
            </w:r>
          </w:p>
        </w:tc>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8.1</w:t>
            </w:r>
          </w:p>
        </w:tc>
        <w:tc>
          <w:tcPr>
            <w:tcW w:w="3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High anxiety; political urgency registered</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7.4</w:t>
            </w:r>
          </w:p>
        </w:tc>
        <w:tc>
          <w:tcPr>
            <w:tcW w:w="3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Elevated concern; supply security priority</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w:t>
            </w:r>
          </w:p>
        </w:tc>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9.0</w:t>
            </w:r>
          </w:p>
        </w:tc>
        <w:tc>
          <w:tcPr>
            <w:tcW w:w="3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High fear; demand destruction risk</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8.7</w:t>
            </w:r>
          </w:p>
        </w:tc>
        <w:tc>
          <w:tcPr>
            <w:tcW w:w="3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High urgency; statutory deadline pressure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9.5</w:t>
            </w:r>
          </w:p>
        </w:tc>
        <w:tc>
          <w:tcPr>
            <w:tcW w:w="3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Near-maximum fear; flight to safety</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The fear-greed evolution reveals that the shock triggers broad-based fear across the ecosystem by Round 3, with the FII aggregate reaching 9.5 (near maximum fear). This is consistent with observed market behaviour during major trade shock events, where investor sentiment deteriorates rapidly and comprehensively.</w:t>
      </w:r>
    </w:p>
    <w:p>
      <w:pPr>
        <w:pStyle w:val="4"/>
        <w:spacing w:before="200" w:after="120"/>
        <w:jc w:val="left"/>
        <w:outlineLvl w:val="2"/>
      </w:pPr>
      <w:r>
        <w:rPr>
          <w:rFonts w:ascii="Times New Roman" w:hAnsi="Times New Roman" w:eastAsia="Times New Roman" w:cs="Times New Roman"/>
          <w:b/>
          <w:bCs/>
          <w:sz w:val="24"/>
          <w:szCs w:val="24"/>
        </w:rPr>
        <w:t>4.4.3 Trade Flow State — Post-Simulation</w:t>
      </w:r>
    </w:p>
    <w:p>
      <w:pPr>
        <w:spacing w:before="120" w:after="80"/>
        <w:jc w:val="center"/>
      </w:pPr>
      <w:r>
        <w:rPr>
          <w:rFonts w:ascii="Times New Roman" w:hAnsi="Times New Roman" w:eastAsia="Times New Roman" w:cs="Times New Roman"/>
          <w:b/>
          <w:bCs/>
          <w:i/>
          <w:iCs/>
          <w:sz w:val="24"/>
          <w:szCs w:val="24"/>
        </w:rPr>
        <w:t>Table 4.10: Trade Routes at Simulation End (Round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000"/>
        <w:gridCol w:w="1600"/>
        <w:gridCol w:w="1700"/>
        <w:gridCol w:w="1400"/>
        <w:gridCol w:w="2660"/>
      </w:tblGrid>
      <w:tr>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Route</w:t>
            </w:r>
          </w:p>
        </w:tc>
        <w:tc>
          <w:tcPr>
            <w:tcW w:w="16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Commodity</w:t>
            </w:r>
          </w:p>
        </w:tc>
        <w:tc>
          <w:tcPr>
            <w:tcW w:w="17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Volume (MT)</w:t>
            </w:r>
          </w:p>
        </w:tc>
        <w:tc>
          <w:tcPr>
            <w:tcW w:w="14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Tariff Rate</w:t>
            </w:r>
          </w:p>
        </w:tc>
        <w:tc>
          <w:tcPr>
            <w:tcW w:w="26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Direction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India → US</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Steel HRC</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1,338,750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50%</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Declining (diversion active)</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India → EU</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Steel HRC</w:t>
            </w:r>
          </w:p>
        </w:tc>
        <w:tc>
          <w:tcPr>
            <w:tcW w:w="1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608,000</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5%</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Receiving diverted volume</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India → ASEAN</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Steel HRC</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523,800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3%</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Receiving diverted volume</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India → Middle East</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Steel HRC</w:t>
            </w:r>
          </w:p>
        </w:tc>
        <w:tc>
          <w:tcPr>
            <w:tcW w:w="1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339,480</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8%</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Receiving diverted volume</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Australia → India</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Iron Ore</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46,550,000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2%</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Stable (long-term contracts)</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China → India</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Steel HRC</w:t>
            </w:r>
          </w:p>
        </w:tc>
        <w:tc>
          <w:tcPr>
            <w:tcW w:w="17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1,161,600</w:t>
            </w:r>
          </w:p>
        </w:tc>
        <w:tc>
          <w:tcPr>
            <w:tcW w:w="14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12%</w:t>
            </w:r>
          </w:p>
        </w:tc>
        <w:tc>
          <w:tcPr>
            <w:tcW w:w="26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Under DGTR investigation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Brazil → India</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Iron Ore</w:t>
            </w:r>
          </w:p>
        </w:tc>
        <w:tc>
          <w:tcPr>
            <w:tcW w:w="17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13,524,000</w:t>
            </w:r>
          </w:p>
        </w:tc>
        <w:tc>
          <w:tcPr>
            <w:tcW w:w="14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2%</w:t>
            </w:r>
          </w:p>
        </w:tc>
        <w:tc>
          <w:tcPr>
            <w:tcW w:w="26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Stable</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The trade route data confirms successful export diversion: India → ASEAN, EU, and Middle East routes receive the diverted volumes originally destined for the US. The China → India steel route is simultaneously under DGTR safeguard investigation, illustrating the dual pressure on India’s steel market from both US tariff-induced diversion and residual Chinese exports.</w:t>
      </w:r>
    </w:p>
    <w:p>
      <w:pPr>
        <w:pStyle w:val="4"/>
        <w:spacing w:before="200" w:after="120"/>
        <w:jc w:val="left"/>
        <w:outlineLvl w:val="2"/>
      </w:pPr>
      <w:r>
        <w:rPr>
          <w:rFonts w:ascii="Times New Roman" w:hAnsi="Times New Roman" w:eastAsia="Times New Roman" w:cs="Times New Roman"/>
          <w:b/>
          <w:bCs/>
          <w:sz w:val="24"/>
          <w:szCs w:val="24"/>
        </w:rPr>
        <w:t>4.4.3b Lobbying and Regulatory Capture Dynamics</w:t>
      </w:r>
    </w:p>
    <w:p>
      <w:pPr>
        <w:spacing w:before="80" w:after="80" w:line="360" w:lineRule="auto"/>
        <w:jc w:val="both"/>
      </w:pPr>
      <w:r>
        <w:rPr>
          <w:rFonts w:ascii="Times New Roman" w:hAnsi="Times New Roman" w:eastAsia="Times New Roman" w:cs="Times New Roman"/>
          <w:sz w:val="24"/>
          <w:szCs w:val="24"/>
        </w:rPr>
        <w:t>The StateResolver tracks a lobbying accumulation score for the DGTR agent, quantifying the degree to which intense industry pressure may influence investigation timelines and outcomes — the principal-agent concept of regulatory capture applied in a computational setting. Across the three rounds, the steel industry's lobbying intensity (as reflected in Tata Steel's advocacy for domestic protection and the consumer's subsidy demands) accumulates to a moderate capture score, consistent with the DGTR's historical pattern of initiating safeguard investigations in response to industry pressure without compromising procedural integrity. The simulation's Round 3 provisional duty imposition at a 20% rate — substantial but not at the maximum possible level — reflects this balance.</w:t>
      </w:r>
    </w:p>
    <w:p>
      <w:pPr>
        <w:spacing w:before="60" w:after="60"/>
      </w:pPr>
    </w:p>
    <w:p>
      <w:pPr>
        <w:spacing w:before="120" w:after="80"/>
        <w:jc w:val="center"/>
      </w:pPr>
      <w:r>
        <w:rPr>
          <w:rFonts w:ascii="Times New Roman" w:hAnsi="Times New Roman" w:eastAsia="Times New Roman" w:cs="Times New Roman"/>
          <w:b/>
          <w:bCs/>
          <w:i/>
          <w:iCs/>
          <w:sz w:val="24"/>
          <w:szCs w:val="24"/>
        </w:rPr>
        <w:t>Table 4.12: Lobbying Dynamics and Regulatory Capture Indicators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000"/>
        <w:gridCol w:w="3500"/>
        <w:gridCol w:w="1100"/>
        <w:gridCol w:w="2760"/>
      </w:tblGrid>
      <w:tr>
        <w:trPr>
          <w:tblHeader/>
        </w:trPr>
        <w:tc>
          <w:tcPr>
            <w:tcW w:w="2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w:t>
            </w:r>
          </w:p>
        </w:tc>
        <w:tc>
          <w:tcPr>
            <w:tcW w:w="35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Advocacy Action</w:t>
            </w:r>
          </w:p>
        </w:tc>
        <w:tc>
          <w:tcPr>
            <w:tcW w:w="11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w:t>
            </w:r>
          </w:p>
        </w:tc>
        <w:tc>
          <w:tcPr>
            <w:tcW w:w="27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Capture Influence Direction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Formal industry association submission for safeguard protection</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Pro-investigation; supports DGTR action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w:t>
            </w:r>
          </w:p>
        </w:tc>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Lobbying against safeguard duty (would raise input costs)</w:t>
            </w:r>
          </w:p>
        </w:tc>
        <w:tc>
          <w:tcPr>
            <w:tcW w:w="11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w:t>
            </w:r>
          </w:p>
        </w:tc>
        <w:tc>
          <w:tcPr>
            <w:tcW w:w="2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Counter-investigation; complicates DGTR position</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w:t>
            </w:r>
          </w:p>
        </w:tc>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Demand-subsidy request to Ministry of Steel</w:t>
            </w:r>
          </w:p>
        </w:tc>
        <w:tc>
          <w:tcPr>
            <w:tcW w:w="11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3</w:t>
            </w:r>
          </w:p>
        </w:tc>
        <w:tc>
          <w:tcPr>
            <w:tcW w:w="27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Redirected to GoI rather than DGTR</w:t>
            </w:r>
          </w:p>
        </w:tc>
      </w:tr>
      <w:tr>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w:t>
            </w:r>
          </w:p>
        </w:tc>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Aligned with steelmakers; indirect pro-investigation</w:t>
            </w:r>
          </w:p>
        </w:tc>
        <w:tc>
          <w:tcPr>
            <w:tcW w:w="11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w:t>
            </w:r>
          </w:p>
        </w:tc>
        <w:tc>
          <w:tcPr>
            <w:tcW w:w="27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Pro-investigation</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The multi-directional lobbying dynamics — with steel producers and consumers sending opposing signals to the DGTR — represent an institutional complexity that no single-actor strategic analysis could capture. The consumer's opposition to safeguard duties (which would raise their input costs) creates a realistic tension that the DGTR must resolve through procedural judgment, not simple industry capture.</w:t>
      </w:r>
    </w:p>
    <w:p>
      <w:pPr>
        <w:pStyle w:val="4"/>
        <w:spacing w:before="200" w:after="120"/>
        <w:jc w:val="left"/>
        <w:outlineLvl w:val="2"/>
      </w:pPr>
      <w:r>
        <w:rPr>
          <w:rFonts w:ascii="Times New Roman" w:hAnsi="Times New Roman" w:eastAsia="Times New Roman" w:cs="Times New Roman"/>
          <w:b/>
          <w:bCs/>
          <w:sz w:val="24"/>
          <w:szCs w:val="24"/>
        </w:rPr>
        <w:t>4.4.4 Public Signals — Ecosystem Communication Timeline</w:t>
      </w:r>
    </w:p>
    <w:p>
      <w:pPr>
        <w:spacing w:before="120" w:after="80"/>
        <w:jc w:val="center"/>
      </w:pPr>
      <w:r>
        <w:rPr>
          <w:rFonts w:ascii="Times New Roman" w:hAnsi="Times New Roman" w:eastAsia="Times New Roman" w:cs="Times New Roman"/>
          <w:b/>
          <w:bCs/>
          <w:i/>
          <w:iCs/>
          <w:sz w:val="24"/>
          <w:szCs w:val="24"/>
        </w:rPr>
        <w:t>Table 4.11: Public Signals Chronology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1000"/>
        <w:gridCol w:w="2200"/>
        <w:gridCol w:w="6160"/>
      </w:tblGrid>
      <w:tr>
        <w:trPr>
          <w:tblHeader/>
        </w:trPr>
        <w:tc>
          <w:tcPr>
            <w:tcW w:w="1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Round</w:t>
            </w:r>
          </w:p>
        </w:tc>
        <w:tc>
          <w:tcPr>
            <w:tcW w:w="2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Source Agent</w:t>
            </w:r>
          </w:p>
        </w:tc>
        <w:tc>
          <w:tcPr>
            <w:tcW w:w="61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Signal Content</w:t>
            </w:r>
          </w:p>
        </w:tc>
      </w:tr>
      <w:tr>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6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Divert Indian exports to EU and ASEAN; activate financial hedges to protect margins.</w:t>
            </w:r>
          </w:p>
        </w:tc>
      </w:tr>
      <w:tr>
        <w:tc>
          <w:tcPr>
            <w:tcW w:w="1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1</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Govt of India</w:t>
            </w:r>
          </w:p>
        </w:tc>
        <w:tc>
          <w:tcPr>
            <w:tcW w:w="6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Challenge US Section 232 at WTO; roll out time-bound PLI subsidy to safeguard domestic jobs.</w:t>
            </w:r>
          </w:p>
        </w:tc>
      </w:tr>
      <w:tr>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6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Initiate safeguard investigation on steel imports following US Section 232 measures.</w:t>
            </w:r>
          </w:p>
        </w:tc>
      </w:tr>
      <w:tr>
        <w:tc>
          <w:tcPr>
            <w:tcW w:w="1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1</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6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Slash India steel exposure by USD 1.7B; rotate to pharma/IT.</w:t>
            </w:r>
          </w:p>
        </w:tc>
      </w:tr>
      <w:tr>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2</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6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Complete export redirection; fully exited US spot market; currency risk hedged.</w:t>
            </w:r>
          </w:p>
        </w:tc>
      </w:tr>
      <w:tr>
        <w:tc>
          <w:tcPr>
            <w:tcW w:w="1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2</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w:t>
            </w:r>
          </w:p>
        </w:tc>
        <w:tc>
          <w:tcPr>
            <w:tcW w:w="6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Offer 3-year contracts linked to 62% Fe index, sharing margin predictability.</w:t>
            </w:r>
          </w:p>
        </w:tc>
      </w:tr>
      <w:tr>
        <w:tc>
          <w:tcPr>
            <w:tcW w:w="1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3</w:t>
            </w:r>
          </w:p>
        </w:tc>
        <w:tc>
          <w:tcPr>
            <w:tcW w:w="2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6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Impose 200-day provisional 20% safeguard duty on HRC imports.</w:t>
            </w:r>
          </w:p>
        </w:tc>
      </w:tr>
      <w:tr>
        <w:tc>
          <w:tcPr>
            <w:tcW w:w="1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3</w:t>
            </w:r>
          </w:p>
        </w:tc>
        <w:tc>
          <w:tcPr>
            <w:tcW w:w="2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6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Trim India steel USD 1.4B additional; cite global overcapacity and punitive US duty.</w:t>
            </w:r>
          </w:p>
        </w:tc>
      </w:tr>
    </w:tbl>
    <w:p>
      <w:r>
        <w:br w:type="page"/>
      </w:r>
    </w:p>
    <w:p>
      <w:pPr>
        <w:pStyle w:val="2"/>
        <w:pageBreakBefore/>
        <w:spacing w:before="480" w:after="240"/>
        <w:jc w:val="center"/>
        <w:outlineLvl w:val="0"/>
      </w:pPr>
      <w:r>
        <w:rPr>
          <w:rFonts w:ascii="Times New Roman" w:hAnsi="Times New Roman" w:eastAsia="Times New Roman" w:cs="Times New Roman"/>
          <w:b/>
          <w:bCs/>
          <w:sz w:val="32"/>
          <w:szCs w:val="32"/>
        </w:rPr>
        <w:t>CHAPTER 5
FINDINGS AND CONCLUSION</w:t>
      </w:r>
    </w:p>
    <w:p>
      <w:pPr>
        <w:pStyle w:val="3"/>
        <w:spacing w:before="300" w:after="160"/>
        <w:jc w:val="left"/>
        <w:outlineLvl w:val="1"/>
      </w:pPr>
      <w:r>
        <w:rPr>
          <w:rFonts w:ascii="Times New Roman" w:hAnsi="Times New Roman" w:eastAsia="Times New Roman" w:cs="Times New Roman"/>
          <w:b/>
          <w:bCs/>
          <w:sz w:val="28"/>
          <w:szCs w:val="28"/>
        </w:rPr>
        <w:t>5.1 Key Findings</w:t>
      </w:r>
    </w:p>
    <w:p>
      <w:pPr>
        <w:spacing w:before="80" w:after="80" w:line="360" w:lineRule="auto"/>
        <w:jc w:val="both"/>
      </w:pPr>
      <w:r>
        <w:rPr>
          <w:rFonts w:ascii="Times New Roman" w:hAnsi="Times New Roman" w:eastAsia="Times New Roman" w:cs="Times New Roman"/>
          <w:sz w:val="24"/>
          <w:szCs w:val="24"/>
        </w:rPr>
        <w:t>Five key findings emerge from the simulation analysis:</w:t>
      </w:r>
    </w:p>
    <w:p>
      <w:pPr>
        <w:spacing w:before="60" w:after="60"/>
      </w:pPr>
    </w:p>
    <w:p>
      <w:pPr>
        <w:spacing w:before="80" w:after="80" w:line="360" w:lineRule="auto"/>
        <w:jc w:val="both"/>
      </w:pPr>
      <w:r>
        <w:rPr>
          <w:rFonts w:ascii="Times New Roman" w:hAnsi="Times New Roman" w:eastAsia="Times New Roman" w:cs="Times New Roman"/>
          <w:b/>
          <w:bCs/>
          <w:sz w:val="24"/>
          <w:szCs w:val="24"/>
        </w:rPr>
        <w:t>Finding 1: Multi-Actor Feedback Loops Amplify Shock Impact Beyond Direct Economic Magnitude</w:t>
      </w:r>
    </w:p>
    <w:p>
      <w:pPr>
        <w:spacing w:before="80" w:after="80" w:line="360" w:lineRule="auto"/>
        <w:jc w:val="both"/>
      </w:pPr>
      <w:r>
        <w:rPr>
          <w:rFonts w:ascii="Times New Roman" w:hAnsi="Times New Roman" w:eastAsia="Times New Roman" w:cs="Times New Roman"/>
          <w:sz w:val="24"/>
          <w:szCs w:val="24"/>
        </w:rPr>
        <w:t>The US tariff directly affects USD 1.8 billion of Tata Steel’s export revenue. However, the simulation reveals that ecosystem responses — FII divestment of USD 1.7 billion in Round 1 alone, DGTR safeguard duties adding protective friction to all steel imports, and consumer demand for government subsidies — collectively create a systemic response an order of magnitude larger than the direct trade disruption. The multi-actor feedback mechanism multiplies the economic significance of the initial shock beyond what any single-actor analysis would predict.</w:t>
      </w:r>
    </w:p>
    <w:p>
      <w:pPr>
        <w:spacing w:before="60" w:after="60"/>
      </w:pPr>
    </w:p>
    <w:p>
      <w:pPr>
        <w:spacing w:before="80" w:after="80" w:line="360" w:lineRule="auto"/>
        <w:jc w:val="both"/>
      </w:pPr>
      <w:r>
        <w:rPr>
          <w:rFonts w:ascii="Times New Roman" w:hAnsi="Times New Roman" w:eastAsia="Times New Roman" w:cs="Times New Roman"/>
          <w:sz w:val="24"/>
          <w:szCs w:val="24"/>
        </w:rPr>
        <w:t>This amplification mechanism operates through two channels: financial amplification and institutional amplification. Financial amplification occurs through FII equity market responses: the USD 1.7 billion Round 1 divestment reduces Tata Steel’s market capitalisation, increasing its cost of equity, which in turn constrains its capacity for the capital investment needed to accelerate the European operations restructuring that would otherwise provide an alternative outlet for diverted volumes. Institutional amplification occurs through the DGTR investigation: the initiation of a safeguard investigation signals to global steel exporters that the Indian market may soon impose protective duties, accelerating the very import surge the investigation is meant to address — a self-fulfilling dynamic that is characteristic of institutional responses to trade shocks. Traditional single-actor analysis of Tata Steel’s response would capture neither of these amplification channels.</w:t>
      </w:r>
    </w:p>
    <w:p>
      <w:pPr>
        <w:spacing w:before="60" w:after="60"/>
      </w:pPr>
    </w:p>
    <w:p>
      <w:pPr>
        <w:spacing w:before="80" w:after="80" w:line="360" w:lineRule="auto"/>
        <w:jc w:val="both"/>
      </w:pPr>
      <w:r>
        <w:rPr>
          <w:rFonts w:ascii="Times New Roman" w:hAnsi="Times New Roman" w:eastAsia="Times New Roman" w:cs="Times New Roman"/>
          <w:b/>
          <w:bCs/>
          <w:sz w:val="24"/>
          <w:szCs w:val="24"/>
        </w:rPr>
        <w:t>Finding 2: Government Response Timing is the Critical Variable for Company Strategy Adaptation</w:t>
      </w:r>
    </w:p>
    <w:p>
      <w:pPr>
        <w:spacing w:before="80" w:after="80" w:line="360" w:lineRule="auto"/>
        <w:jc w:val="both"/>
      </w:pPr>
      <w:r>
        <w:rPr>
          <w:rFonts w:ascii="Times New Roman" w:hAnsi="Times New Roman" w:eastAsia="Times New Roman" w:cs="Times New Roman"/>
          <w:sz w:val="24"/>
          <w:szCs w:val="24"/>
        </w:rPr>
        <w:t>Tata Steel’s confidence trajectory (0.78 → 0.84 → 0.87) correlates directly with the Government’s early and clear signalling of WTO challenge and PLI subsidy in Round 1. The government’s decisive early response gave Tata Steel a stable policy backdrop against which to execute its export diversion strategy. Policy predictability is a critical enabler of corporate resilience during external shocks.</w:t>
      </w:r>
    </w:p>
    <w:p>
      <w:pPr>
        <w:spacing w:before="60" w:after="60"/>
      </w:pPr>
    </w:p>
    <w:p>
      <w:pPr>
        <w:spacing w:before="80" w:after="80" w:line="360" w:lineRule="auto"/>
        <w:jc w:val="both"/>
      </w:pPr>
      <w:r>
        <w:rPr>
          <w:rFonts w:ascii="Times New Roman" w:hAnsi="Times New Roman" w:eastAsia="Times New Roman" w:cs="Times New Roman"/>
          <w:sz w:val="24"/>
          <w:szCs w:val="24"/>
        </w:rPr>
        <w:t>The mechanism by which government response timing affects corporate strategy operates through uncertainty reduction. In the absence of a clear government signal, Tata Steel would need to hedge not only against the commercial consequences of the tariff but also against political risk — the possibility that the government might impose export restrictions, provide differential support to competitor firms, or pursue bilateral negotiations that could reverse the tariff on disadvantageous terms for specific producers. The government’s unambiguous Round 1 announcement eliminates this political uncertainty, allowing Tata Steel to commit fully to the export diversion strategy without reserving resources for political contingencies. This finding is consistent with the policy uncertainty literature (Baker, Bloom, and Davis 2016), which documents the significant economic costs of policy unpredictability on corporate investment and strategy.</w:t>
      </w:r>
    </w:p>
    <w:p>
      <w:pPr>
        <w:spacing w:before="60" w:after="60"/>
      </w:pPr>
    </w:p>
    <w:p>
      <w:pPr>
        <w:spacing w:before="80" w:after="80" w:line="360" w:lineRule="auto"/>
        <w:jc w:val="both"/>
      </w:pPr>
      <w:r>
        <w:rPr>
          <w:rFonts w:ascii="Times New Roman" w:hAnsi="Times New Roman" w:eastAsia="Times New Roman" w:cs="Times New Roman"/>
          <w:b/>
          <w:bCs/>
          <w:sz w:val="24"/>
          <w:szCs w:val="24"/>
        </w:rPr>
        <w:t>Finding 3: Regulatory Action Creates Second-Order Market Stabilisation</w:t>
      </w:r>
    </w:p>
    <w:p>
      <w:pPr>
        <w:spacing w:before="80" w:after="80" w:line="360" w:lineRule="auto"/>
        <w:jc w:val="both"/>
      </w:pPr>
      <w:r>
        <w:rPr>
          <w:rFonts w:ascii="Times New Roman" w:hAnsi="Times New Roman" w:eastAsia="Times New Roman" w:cs="Times New Roman"/>
          <w:sz w:val="24"/>
          <w:szCs w:val="24"/>
        </w:rPr>
        <w:t>The DGTR’s Round 3 imposition of a 20% provisional safeguard duty represents the most consequential single action in the simulation — more impactful than Tata Steel’s market re-routing in terms of systemic stabilisation. By protecting the domestic Indian market from import surge, the DGTR action restores pricing power to domestic producers and reduces the downstream cost pressure on industrial consumers. This finding highlights the critical and often underappreciated role of trade remedy institutions in ecosystem shock absorption.</w:t>
      </w:r>
    </w:p>
    <w:p>
      <w:pPr>
        <w:spacing w:before="60" w:after="60"/>
      </w:pPr>
    </w:p>
    <w:p>
      <w:pPr>
        <w:spacing w:before="80" w:after="80" w:line="360" w:lineRule="auto"/>
        <w:jc w:val="both"/>
      </w:pPr>
      <w:r>
        <w:rPr>
          <w:rFonts w:ascii="Times New Roman" w:hAnsi="Times New Roman" w:eastAsia="Times New Roman" w:cs="Times New Roman"/>
          <w:sz w:val="24"/>
          <w:szCs w:val="24"/>
        </w:rPr>
        <w:t>The stabilisation mechanism operates as follows: the US tariff diverts approximately 2+ million MT of Indian steel production to alternative Asian and European markets. Simultaneously, it displaces Chinese, Korean, and Vietnamese steel from the US market, redirecting those volumes toward Asia — including India. The Indian domestic market thus faces a double supply pressure: reduced domestic producer export volumes plus increased import volumes from other displaced exporters. The DGTR’s 20% safeguard duty on HRC imports directly addresses this second pressure, restoring domestic price equilibrium and reducing the spread between domestic and international prices that would otherwise encourage further import penetration. This two-step analysis — primary shock displacement plus secondary import surge — is only visible in a multi-actor simulation that includes both the exporter (Tata Steel) and the regulator (DGTR) simultaneously.</w:t>
      </w:r>
    </w:p>
    <w:p>
      <w:pPr>
        <w:spacing w:before="60" w:after="60"/>
      </w:pPr>
    </w:p>
    <w:p>
      <w:pPr>
        <w:spacing w:before="80" w:after="80" w:line="360" w:lineRule="auto"/>
        <w:jc w:val="both"/>
      </w:pPr>
      <w:r>
        <w:rPr>
          <w:rFonts w:ascii="Times New Roman" w:hAnsi="Times New Roman" w:eastAsia="Times New Roman" w:cs="Times New Roman"/>
          <w:b/>
          <w:bCs/>
          <w:sz w:val="24"/>
          <w:szCs w:val="24"/>
        </w:rPr>
        <w:t>Finding 4: Information Asymmetry Shapes Strategic Interaction Quality</w:t>
      </w:r>
    </w:p>
    <w:p>
      <w:pPr>
        <w:spacing w:before="80" w:after="80" w:line="360" w:lineRule="auto"/>
        <w:jc w:val="both"/>
      </w:pPr>
      <w:r>
        <w:rPr>
          <w:rFonts w:ascii="Times New Roman" w:hAnsi="Times New Roman" w:eastAsia="Times New Roman" w:cs="Times New Roman"/>
          <w:sz w:val="24"/>
          <w:szCs w:val="24"/>
        </w:rPr>
        <w:t>The VisibilityFilter’s enforcement of information asymmetry — preventing agents from observing each other’s private intent, fear-greed indices, or pending decisions — produces qualitatively richer and more realistic strategic behaviour than a complete-information setting would. Agents signal strategically through public communications rather than coordinating directly. This mirrors the role of market signals, corporate announcements, and government notifications in real-world strategic coordination.</w:t>
      </w:r>
    </w:p>
    <w:p>
      <w:pPr>
        <w:spacing w:before="60" w:after="60"/>
      </w:pPr>
    </w:p>
    <w:p>
      <w:pPr>
        <w:spacing w:before="80" w:after="80" w:line="360" w:lineRule="auto"/>
        <w:jc w:val="both"/>
      </w:pPr>
      <w:r>
        <w:rPr>
          <w:rFonts w:ascii="Times New Roman" w:hAnsi="Times New Roman" w:eastAsia="Times New Roman" w:cs="Times New Roman"/>
          <w:sz w:val="24"/>
          <w:szCs w:val="24"/>
        </w:rPr>
        <w:t>The analytical implication of this finding is significant for the design of business intelligence and competitive monitoring systems. Companies that invest in monitoring the full ecosystem of actors — tracking FII equity flows as a leading indicator, monitoring DGTR investigation filings as a regulatory signal, and observing competitor public statements for strategic intent — gain informational advantages that are not available to companies that focus purely on their own operational metrics. The simulation provides a structured framework for identifying which information sources about which agents are most valuable for anticipating ecosystem-level dynamics.</w:t>
      </w:r>
    </w:p>
    <w:p>
      <w:pPr>
        <w:spacing w:before="60" w:after="60"/>
      </w:pPr>
    </w:p>
    <w:p>
      <w:pPr>
        <w:spacing w:before="80" w:after="80" w:line="360" w:lineRule="auto"/>
        <w:jc w:val="both"/>
      </w:pPr>
      <w:r>
        <w:rPr>
          <w:rFonts w:ascii="Times New Roman" w:hAnsi="Times New Roman" w:eastAsia="Times New Roman" w:cs="Times New Roman"/>
          <w:b/>
          <w:bCs/>
          <w:sz w:val="24"/>
          <w:szCs w:val="24"/>
        </w:rPr>
        <w:t>Finding 5: Investor Behaviour is a Leading Indicator of Ecosystem Stress</w:t>
      </w:r>
    </w:p>
    <w:p>
      <w:pPr>
        <w:spacing w:before="80" w:after="80" w:line="360" w:lineRule="auto"/>
        <w:jc w:val="both"/>
      </w:pPr>
      <w:r>
        <w:rPr>
          <w:rFonts w:ascii="Times New Roman" w:hAnsi="Times New Roman" w:eastAsia="Times New Roman" w:cs="Times New Roman"/>
          <w:sz w:val="24"/>
          <w:szCs w:val="24"/>
        </w:rPr>
        <w:t>The FII aggregate agent exhibited the highest final fear-greed index (9.5) and the fastest initial response (selling USD 1.7 billion in Round 1) of any ecosystem actor. Investor behaviour, driven by forward-looking sentiment analysis rather than operational response, consistently precedes and amplifies real-economy adjustments. Monitoring investor positioning in listed equities provides early warning of ecosystem-level shock severity that operational actors may be slower to register.</w:t>
      </w:r>
    </w:p>
    <w:p>
      <w:pPr>
        <w:spacing w:before="60" w:after="60"/>
      </w:pPr>
    </w:p>
    <w:p>
      <w:pPr>
        <w:spacing w:before="80" w:after="80" w:line="360" w:lineRule="auto"/>
        <w:jc w:val="both"/>
      </w:pPr>
      <w:r>
        <w:rPr>
          <w:rFonts w:ascii="Times New Roman" w:hAnsi="Times New Roman" w:eastAsia="Times New Roman" w:cs="Times New Roman"/>
          <w:sz w:val="24"/>
          <w:szCs w:val="24"/>
        </w:rPr>
        <w:t>This finding has practical implications for corporate financial risk management. Companies that establish real-time monitoring of institutional investor positioning — using SEBI quarterly disclosures, NSE bulk and block deal data, and FII/DII net flow statistics — can detect shifts in financial market sentiment before they manifest as fundamental financial conditions changes (credit downgrades, bond spread widening, commercial paper pricing increases). The 3–6 week lag between FII equity positioning changes and balance sheet consequences gives alert companies a window in which to pre-position their liquidity — drawing down revolving credit facilities, accelerating receivables collection, or deferring discretionary capital expenditure — before the financial tightening affects operational freedom.</w:t>
      </w:r>
    </w:p>
    <w:p>
      <w:pPr>
        <w:pStyle w:val="3"/>
        <w:spacing w:before="300" w:after="160"/>
        <w:jc w:val="left"/>
        <w:outlineLvl w:val="1"/>
      </w:pPr>
      <w:r>
        <w:rPr>
          <w:rFonts w:ascii="Times New Roman" w:hAnsi="Times New Roman" w:eastAsia="Times New Roman" w:cs="Times New Roman"/>
          <w:b/>
          <w:bCs/>
          <w:sz w:val="28"/>
          <w:szCs w:val="28"/>
        </w:rPr>
        <w:t>5.1b Emergent Dynamics: What the Simulation Revealed that Theory Alone Could Not</w:t>
      </w:r>
    </w:p>
    <w:p>
      <w:pPr>
        <w:spacing w:before="80" w:after="80" w:line="360" w:lineRule="auto"/>
        <w:jc w:val="both"/>
      </w:pPr>
      <w:r>
        <w:rPr>
          <w:rFonts w:ascii="Times New Roman" w:hAnsi="Times New Roman" w:eastAsia="Times New Roman" w:cs="Times New Roman"/>
          <w:sz w:val="24"/>
          <w:szCs w:val="24"/>
        </w:rPr>
        <w:t>A central justification for computational simulation over purely theoretical analysis is that simulation can reveal dynamics that are logically consistent with theory but are not derivable from theory alone without the simulation. Several such emergent dynamics were observed in this simulation run:</w:t>
      </w:r>
    </w:p>
    <w:p>
      <w:pPr>
        <w:spacing w:before="60" w:after="60"/>
      </w:pPr>
    </w:p>
    <w:p>
      <w:pPr>
        <w:spacing w:before="80" w:after="80" w:line="360" w:lineRule="auto"/>
        <w:jc w:val="both"/>
      </w:pPr>
      <w:r>
        <w:rPr>
          <w:rFonts w:ascii="Times New Roman" w:hAnsi="Times New Roman" w:eastAsia="Times New Roman" w:cs="Times New Roman"/>
          <w:sz w:val="24"/>
          <w:szCs w:val="24"/>
        </w:rPr>
        <w:t>The first emergent dynamic is the consumer agent's strategic pivot from market adaptation (switching suppliers, Round 1) to opportunistic stockpiling (Round 2) to political lobbying (Round 3). This three-stage escalation sequence — from market-based response to political response — was not explicitly programmed into the agent. It emerged from the LLM's reasoning about the agent's changing strategic environment across rounds: market adaptation became insufficient as domestic prices stabilised, stockpiling created temporary financial pressure, and political lobbying became the logical next step when market-based options were exhausted. This sequence is consistent with Cyert and March's problemistic search theory but represents a specific prediction that the theory alone does not generate without the simulation dynamics.</w:t>
      </w:r>
    </w:p>
    <w:p>
      <w:pPr>
        <w:spacing w:before="60" w:after="60"/>
      </w:pPr>
    </w:p>
    <w:p>
      <w:pPr>
        <w:spacing w:before="80" w:after="80" w:line="360" w:lineRule="auto"/>
        <w:jc w:val="both"/>
      </w:pPr>
      <w:r>
        <w:rPr>
          <w:rFonts w:ascii="Times New Roman" w:hAnsi="Times New Roman" w:eastAsia="Times New Roman" w:cs="Times New Roman"/>
          <w:sz w:val="24"/>
          <w:szCs w:val="24"/>
        </w:rPr>
        <w:t>The second emergent dynamic is the alignment between Tata Steel's increasing confidence and the DGTR's increasing confidence across the same rounds. Both agents' strategies reinforce each other: Tata Steel's export diversion reduces domestic supply, which provides the DGTR with evidence of market disruption (steel no longer reaching domestic consumers) that supports its safeguard investigation case. The DGTR's investigation provides Tata Steel with regulatory cover — the impending safeguard duty reduces the risk that Tata Steel's domestic margins will be permanently compressed by diverted import competition. This mutual reinforcement loop — visible only in multi-actor simulation — represents the type of emergent strategic synergy between corporate and regulatory actors that ecosystem analysis aims to surface.</w:t>
      </w:r>
    </w:p>
    <w:p>
      <w:pPr>
        <w:spacing w:before="60" w:after="60"/>
      </w:pPr>
    </w:p>
    <w:p>
      <w:pPr>
        <w:spacing w:before="80" w:after="80" w:line="360" w:lineRule="auto"/>
        <w:jc w:val="both"/>
      </w:pPr>
      <w:r>
        <w:rPr>
          <w:rFonts w:ascii="Times New Roman" w:hAnsi="Times New Roman" w:eastAsia="Times New Roman" w:cs="Times New Roman"/>
          <w:sz w:val="24"/>
          <w:szCs w:val="24"/>
        </w:rPr>
        <w:t>The third emergent dynamic is the divergent responses of the two supply chain actors (Iron Ore Suppliers and Industrial Steel Consumers) to the same shock. Both actors face demand uncertainty from Tata Steel — the supplier because Tata Steel's export diversion reduces its overall production volume, the consumer because export diversion shifts domestic supply availability. Yet their strategic responses are diametrically opposite: the supplier seeks long-term relational stability (contract offer) while the consumer seeks short-term opportunistic advantage (stockpiling). This divergence is explained by their structural positions in the value chain: the supplier is asset-heavy and relationship-dependent (mining infrastructure cannot be redeployed), while the consumer is asset-light and transactionally flexible (procurement decisions are made monthly). The simulation reveals this asymmetry as a structural consequence of value chain position, not merely a coincidental choice.</w:t>
      </w:r>
    </w:p>
    <w:p>
      <w:pPr>
        <w:pStyle w:val="3"/>
        <w:spacing w:before="300" w:after="160"/>
        <w:jc w:val="left"/>
        <w:outlineLvl w:val="1"/>
        <w:rPr>
          <w:rFonts w:ascii="Times New Roman" w:hAnsi="Times New Roman" w:eastAsia="Times New Roman" w:cs="Times New Roman"/>
          <w:b/>
          <w:bCs/>
          <w:sz w:val="28"/>
          <w:szCs w:val="28"/>
        </w:rPr>
      </w:pPr>
    </w:p>
    <w:p>
      <w:pPr>
        <w:pStyle w:val="3"/>
        <w:spacing w:before="300" w:after="160"/>
        <w:jc w:val="left"/>
        <w:outlineLvl w:val="1"/>
        <w:rPr>
          <w:rFonts w:ascii="Times New Roman" w:hAnsi="Times New Roman" w:eastAsia="Times New Roman" w:cs="Times New Roman"/>
          <w:b/>
          <w:bCs/>
          <w:sz w:val="28"/>
          <w:szCs w:val="28"/>
        </w:rPr>
      </w:pPr>
    </w:p>
    <w:p>
      <w:pPr>
        <w:pStyle w:val="3"/>
        <w:spacing w:before="300" w:after="160"/>
        <w:jc w:val="left"/>
        <w:outlineLvl w:val="1"/>
      </w:pPr>
      <w:r>
        <w:rPr>
          <w:rFonts w:ascii="Times New Roman" w:hAnsi="Times New Roman" w:eastAsia="Times New Roman" w:cs="Times New Roman"/>
          <w:b/>
          <w:bCs/>
          <w:sz w:val="28"/>
          <w:szCs w:val="28"/>
        </w:rPr>
        <w:t>5.2 Validation Against Historical Events</w:t>
      </w:r>
    </w:p>
    <w:p>
      <w:pPr>
        <w:spacing w:before="80" w:after="80" w:line="360" w:lineRule="auto"/>
        <w:jc w:val="both"/>
      </w:pPr>
      <w:r>
        <w:rPr>
          <w:rFonts w:ascii="Times New Roman" w:hAnsi="Times New Roman" w:eastAsia="Times New Roman" w:cs="Times New Roman"/>
          <w:sz w:val="24"/>
          <w:szCs w:val="24"/>
        </w:rPr>
        <w:t>The simulation outputs are compared against actual industry behaviour during comparable trade shock events:</w:t>
      </w:r>
    </w:p>
    <w:p>
      <w:pPr>
        <w:spacing w:before="60" w:after="60"/>
      </w:pPr>
    </w:p>
    <w:p>
      <w:pPr>
        <w:spacing w:before="120" w:after="80"/>
        <w:jc w:val="center"/>
      </w:pPr>
      <w:r>
        <w:rPr>
          <w:rFonts w:ascii="Times New Roman" w:hAnsi="Times New Roman" w:eastAsia="Times New Roman" w:cs="Times New Roman"/>
          <w:b/>
          <w:bCs/>
          <w:i/>
          <w:iCs/>
          <w:sz w:val="24"/>
          <w:szCs w:val="24"/>
        </w:rPr>
        <w:t>Table 5.1: Simulation Outputs vs. Historical Observations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800"/>
        <w:gridCol w:w="3500"/>
        <w:gridCol w:w="3060"/>
      </w:tblGrid>
      <w:tr>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Simulation Output</w:t>
            </w:r>
          </w:p>
        </w:tc>
        <w:tc>
          <w:tcPr>
            <w:tcW w:w="35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Historical Comparator</w:t>
            </w:r>
          </w:p>
        </w:tc>
        <w:tc>
          <w:tcPr>
            <w:tcW w:w="30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Consistency</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 export_diversion to EU/ASEAN (Rounds 1–3)</w:t>
            </w:r>
          </w:p>
        </w:tc>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Post-2018 Sec. 232: Tata Steel redirected US volumes to Southeast Asia and Middle East</w:t>
            </w:r>
          </w:p>
        </w:tc>
        <w:tc>
          <w:tcPr>
            <w:tcW w:w="30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High: consistent with actual strategic response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Govt of India: wto_dispute (Rounds 1–3)</w:t>
            </w:r>
          </w:p>
        </w:tc>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India filed WTO dispute DS518 against US Section 232 measures in 2018</w:t>
            </w:r>
          </w:p>
        </w:tc>
        <w:tc>
          <w:tcPr>
            <w:tcW w:w="30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High: consistent with actual government action</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 open_investigation → impose_provisional_duty</w:t>
            </w:r>
          </w:p>
        </w:tc>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 has historical pattern of safeguard investigations following major trade diversion events</w:t>
            </w:r>
          </w:p>
        </w:tc>
        <w:tc>
          <w:tcPr>
            <w:tcW w:w="30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High: consistent with institutional behaviour</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 sell (USD 1.7B Round 1)</w:t>
            </w:r>
          </w:p>
        </w:tc>
        <w:tc>
          <w:tcPr>
            <w:tcW w:w="35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Indian steel equities experienced significant FII outflows following 2018 tariff announcement</w:t>
            </w:r>
          </w:p>
        </w:tc>
        <w:tc>
          <w:tcPr>
            <w:tcW w:w="30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Moderate: direction consistent; magnitude illustrative</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Consumer: stockpile (Round 2)</w:t>
            </w:r>
          </w:p>
        </w:tc>
        <w:tc>
          <w:tcPr>
            <w:tcW w:w="35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Auto and construction sectors historically build steel inventory ahead of anticipated price rises</w:t>
            </w:r>
          </w:p>
        </w:tc>
        <w:tc>
          <w:tcPr>
            <w:tcW w:w="30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Moderate: plausible, limited direct data</w:t>
            </w:r>
          </w:p>
        </w:tc>
      </w:tr>
    </w:tbl>
    <w:p>
      <w:pPr>
        <w:spacing w:before="60" w:after="60"/>
      </w:pPr>
    </w:p>
    <w:p>
      <w:pPr>
        <w:spacing w:before="80" w:after="80" w:line="360" w:lineRule="auto"/>
        <w:jc w:val="both"/>
      </w:pPr>
      <w:r>
        <w:rPr>
          <w:rFonts w:ascii="Times New Roman" w:hAnsi="Times New Roman" w:eastAsia="Times New Roman" w:cs="Times New Roman"/>
          <w:sz w:val="24"/>
          <w:szCs w:val="24"/>
        </w:rPr>
        <w:t>The pattern of simulation outputs is broadly consistent with observed historical responses to comparable trade shock events. This provides supportive external validity for the simulation framework.</w:t>
      </w:r>
    </w:p>
    <w:p>
      <w:pPr>
        <w:pStyle w:val="3"/>
        <w:spacing w:before="300" w:after="160"/>
        <w:jc w:val="left"/>
        <w:outlineLvl w:val="1"/>
      </w:pPr>
      <w:r>
        <w:rPr>
          <w:rFonts w:ascii="Times New Roman" w:hAnsi="Times New Roman" w:eastAsia="Times New Roman" w:cs="Times New Roman"/>
          <w:b/>
          <w:bCs/>
          <w:sz w:val="28"/>
          <w:szCs w:val="28"/>
        </w:rPr>
        <w:t>5.3 Strategic Insights for the Indian Steel Ecosystem</w:t>
      </w:r>
    </w:p>
    <w:p>
      <w:pPr>
        <w:spacing w:before="80" w:after="80" w:line="360" w:lineRule="auto"/>
        <w:jc w:val="both"/>
      </w:pPr>
      <w:r>
        <w:rPr>
          <w:rFonts w:ascii="Times New Roman" w:hAnsi="Times New Roman" w:eastAsia="Times New Roman" w:cs="Times New Roman"/>
          <w:sz w:val="24"/>
          <w:szCs w:val="24"/>
        </w:rPr>
        <w:t>The simulation generates the following pre-emptive strategic insights: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For Tata Steel and Indian steel producers: </w:t>
      </w:r>
      <w:r>
        <w:rPr>
          <w:rFonts w:ascii="Times New Roman" w:hAnsi="Times New Roman" w:eastAsia="Times New Roman" w:cs="Times New Roman"/>
          <w:sz w:val="24"/>
          <w:szCs w:val="24"/>
        </w:rPr>
        <w:t>Export diversification should be a standing strategic posture, not a reactive one. Maintaining active commercial relationships with ASEAN, Middle East, and EU customers reduces the adjustment cost and time when US tariff shocks materialise. Financial hedging (currency-commodity) should be maintained as continuous protection rather than crisis response.</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For the Government of India: </w:t>
      </w:r>
      <w:r>
        <w:rPr>
          <w:rFonts w:ascii="Times New Roman" w:hAnsi="Times New Roman" w:eastAsia="Times New Roman" w:cs="Times New Roman"/>
          <w:sz w:val="24"/>
          <w:szCs w:val="24"/>
        </w:rPr>
        <w:t>WTO dispute procedures are slow (years to resolution); their signalling value is primarily diplomatic and domestic political rather than economically protective in the short term. The more impactful immediate policy instruments are PLI schemes, safeguard investigations, and bilateral trade agreement acceleration. A pre-established rapid-response protocol — activating DGTR investigation within days of a tariff announcement — would materially reduce the shock’s aggregate economic impact.</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For the DGTR: </w:t>
      </w:r>
      <w:r>
        <w:rPr>
          <w:rFonts w:ascii="Times New Roman" w:hAnsi="Times New Roman" w:eastAsia="Times New Roman" w:cs="Times New Roman"/>
          <w:sz w:val="24"/>
          <w:szCs w:val="24"/>
        </w:rPr>
        <w:t>The 200-day provisional safeguard duty is the single highest-leverage policy action available in the ecosystem. It should be triggered immediately upon evidence of trade diversion, not as a final-stage investigation outcome. Institutional capacity for rapid evidence collection and provisional action is a systemic resilience asset.</w:t>
      </w:r>
    </w:p>
    <w:p>
      <w:pPr>
        <w:pStyle w:val="3"/>
        <w:spacing w:before="300" w:after="160"/>
        <w:jc w:val="left"/>
        <w:outlineLvl w:val="1"/>
      </w:pPr>
      <w:r>
        <w:rPr>
          <w:rFonts w:ascii="Times New Roman" w:hAnsi="Times New Roman" w:eastAsia="Times New Roman" w:cs="Times New Roman"/>
          <w:b/>
          <w:bCs/>
          <w:sz w:val="28"/>
          <w:szCs w:val="28"/>
        </w:rPr>
        <w:t>5.3b Information Asymmetry and Emergent Strategic Signalling</w:t>
      </w:r>
    </w:p>
    <w:p>
      <w:pPr>
        <w:spacing w:before="80" w:after="80" w:line="360" w:lineRule="auto"/>
        <w:jc w:val="both"/>
      </w:pPr>
      <w:r>
        <w:rPr>
          <w:rFonts w:ascii="Times New Roman" w:hAnsi="Times New Roman" w:eastAsia="Times New Roman" w:cs="Times New Roman"/>
          <w:sz w:val="24"/>
          <w:szCs w:val="24"/>
        </w:rPr>
        <w:t>One of the most analytically rich dimensions of the simulation is the role of the VisibilityFilter module in creating information asymmetry between agents — a direct computational implementation of Jensen and Meckling's (1976) principal-agent information gap. Agents cannot observe each other's internal fear-greed indices, confidence levels, or pending decisions. Instead, they can only observe each other's public signals — strategic announcements that each agent chooses to make.</w:t>
      </w:r>
    </w:p>
    <w:p>
      <w:pPr>
        <w:spacing w:before="60" w:after="60"/>
      </w:pPr>
    </w:p>
    <w:p>
      <w:pPr>
        <w:spacing w:before="80" w:after="80" w:line="360" w:lineRule="auto"/>
        <w:jc w:val="both"/>
      </w:pPr>
      <w:r>
        <w:rPr>
          <w:rFonts w:ascii="Times New Roman" w:hAnsi="Times New Roman" w:eastAsia="Times New Roman" w:cs="Times New Roman"/>
          <w:sz w:val="24"/>
          <w:szCs w:val="24"/>
        </w:rPr>
        <w:t>This information structure produces a dynamics of strategic signalling that is qualitatively different from what a complete-information game would generate. Tata Steel's Round 1 public signal — 'Divert Indian exports to EU and ASEAN; activate financial hedges' — is crafted not merely as an operational announcement but as a strategic signal to the Government of India and investors: the company has a clear plan and is executing it. This signal reduces the Government's uncertainty about the private sector's adaptation capacity, allowing the government to calibrate its support package more confidently. Similarly, the Government's PLI subsidy announcement signals to Tata Steel that political support is active, increasing Tata Steel's confidence in Round 2.</w:t>
      </w:r>
    </w:p>
    <w:p>
      <w:pPr>
        <w:spacing w:before="60" w:after="60"/>
      </w:pPr>
    </w:p>
    <w:p>
      <w:pPr>
        <w:spacing w:before="80" w:after="80" w:line="360" w:lineRule="auto"/>
        <w:jc w:val="both"/>
      </w:pPr>
      <w:r>
        <w:rPr>
          <w:rFonts w:ascii="Times New Roman" w:hAnsi="Times New Roman" w:eastAsia="Times New Roman" w:cs="Times New Roman"/>
          <w:sz w:val="24"/>
          <w:szCs w:val="24"/>
        </w:rPr>
        <w:t>This emergent signalling dynamic — not explicitly programmed into any agent but arising from the interaction structure — is precisely the kind of ecosystem-level behaviour that justifies multi-agent simulation over single-actor analysis. The simulation reveals that information management is as strategically significant as operational response in the early stages of a trade shock.</w:t>
      </w:r>
    </w:p>
    <w:p>
      <w:pPr>
        <w:pStyle w:val="3"/>
        <w:spacing w:before="300" w:after="160"/>
        <w:jc w:val="left"/>
        <w:outlineLvl w:val="1"/>
        <w:rPr>
          <w:rFonts w:ascii="Times New Roman" w:hAnsi="Times New Roman" w:eastAsia="Times New Roman" w:cs="Times New Roman"/>
          <w:b/>
          <w:bCs/>
          <w:sz w:val="28"/>
          <w:szCs w:val="28"/>
        </w:rPr>
      </w:pPr>
    </w:p>
    <w:p>
      <w:pPr>
        <w:pStyle w:val="3"/>
        <w:spacing w:before="300" w:after="160"/>
        <w:jc w:val="left"/>
        <w:outlineLvl w:val="1"/>
        <w:rPr>
          <w:rFonts w:ascii="Times New Roman" w:hAnsi="Times New Roman" w:eastAsia="Times New Roman" w:cs="Times New Roman"/>
          <w:b/>
          <w:bCs/>
          <w:sz w:val="28"/>
          <w:szCs w:val="28"/>
        </w:rPr>
      </w:pPr>
    </w:p>
    <w:p>
      <w:pPr>
        <w:pStyle w:val="3"/>
        <w:spacing w:before="300" w:after="160"/>
        <w:jc w:val="left"/>
        <w:outlineLvl w:val="1"/>
      </w:pPr>
      <w:r>
        <w:rPr>
          <w:rFonts w:ascii="Times New Roman" w:hAnsi="Times New Roman" w:eastAsia="Times New Roman" w:cs="Times New Roman"/>
          <w:b/>
          <w:bCs/>
          <w:sz w:val="28"/>
          <w:szCs w:val="28"/>
        </w:rPr>
        <w:t>5.4 Theoretical Framework Validation</w:t>
      </w:r>
    </w:p>
    <w:p>
      <w:pPr>
        <w:spacing w:before="80" w:after="80" w:line="360" w:lineRule="auto"/>
        <w:jc w:val="both"/>
      </w:pPr>
      <w:r>
        <w:rPr>
          <w:rFonts w:ascii="Times New Roman" w:hAnsi="Times New Roman" w:eastAsia="Times New Roman" w:cs="Times New Roman"/>
          <w:sz w:val="24"/>
          <w:szCs w:val="24"/>
        </w:rPr>
        <w:t>The simulation outputs provide empirical validation, within the context of a computational experiment, for several of the theoretical frameworks reviewed in Chapter 2:</w:t>
      </w:r>
    </w:p>
    <w:p>
      <w:pPr>
        <w:spacing w:before="60" w:after="60"/>
      </w:pPr>
    </w:p>
    <w:p>
      <w:pPr>
        <w:spacing w:before="120" w:after="80"/>
        <w:jc w:val="center"/>
      </w:pPr>
      <w:r>
        <w:rPr>
          <w:rFonts w:ascii="Times New Roman" w:hAnsi="Times New Roman" w:eastAsia="Times New Roman" w:cs="Times New Roman"/>
          <w:b/>
          <w:bCs/>
          <w:i/>
          <w:iCs/>
          <w:sz w:val="24"/>
          <w:szCs w:val="24"/>
        </w:rPr>
        <w:t>Table 5.2: Theoretical Framework Validation Against Simulation Outputs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200"/>
        <w:gridCol w:w="2000"/>
        <w:gridCol w:w="4160"/>
      </w:tblGrid>
      <w:tr>
        <w:trPr>
          <w:tblHeader/>
        </w:trPr>
        <w:tc>
          <w:tcPr>
            <w:tcW w:w="32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Theoretical Prediction</w:t>
            </w:r>
          </w:p>
        </w:tc>
        <w:tc>
          <w:tcPr>
            <w:tcW w:w="2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Framework</w:t>
            </w:r>
          </w:p>
        </w:tc>
        <w:tc>
          <w:tcPr>
            <w:tcW w:w="41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Simulation Evidence</w:t>
            </w:r>
          </w:p>
        </w:tc>
      </w:tr>
      <w:tr>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First-mover (US tariff) forces all other actors into follower response</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Stackelberg Leadership</w:t>
            </w:r>
          </w:p>
        </w:tc>
        <w:tc>
          <w:tcPr>
            <w:tcW w:w="4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All five other agents define their Round 1 strategies entirely in response to the US tariff action — no agent pursues a pre-shock equilibrium strategy</w:t>
            </w:r>
          </w:p>
        </w:tc>
      </w:tr>
      <w:tr>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Loss-averse actors (FIIs) respond faster and larger to negative shocks</w:t>
            </w:r>
          </w:p>
        </w:tc>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Prospect Theory</w:t>
            </w:r>
          </w:p>
        </w:tc>
        <w:tc>
          <w:tcPr>
            <w:tcW w:w="4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divests USD 1.7B in Round 1 — the single largest round-action by any agent — while Tata Steel's export diversion (more operationally complex) takes three rounds to complete</w:t>
            </w:r>
          </w:p>
        </w:tc>
      </w:tr>
      <w:tr>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Regulatory agents follow procedural scripts under coercive institutional constraints</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Institutional Theory (DiMaggio &amp; Powell)</w:t>
            </w:r>
          </w:p>
        </w:tc>
        <w:tc>
          <w:tcPr>
            <w:tcW w:w="4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 follows investigation → provisional duty procedural sequence across rounds 1-3, unable to skip procedural steps even under political pressure</w:t>
            </w:r>
          </w:p>
        </w:tc>
      </w:tr>
      <w:tr>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Agents with VRIN resources adapt more confidently than those without</w:t>
            </w:r>
          </w:p>
        </w:tc>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Resource-Based View (Barney)</w:t>
            </w:r>
          </w:p>
        </w:tc>
        <w:tc>
          <w:tcPr>
            <w:tcW w:w="4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Tata Steel confidence: 0.78 → 0.87; Industrial Consumer confidence: 0.65 → 0.68; RBV-strong agent (Tata Steel) outperforms RBV-weak agent (consumer) in adaptation confidence</w:t>
            </w:r>
          </w:p>
        </w:tc>
      </w:tr>
      <w:tr>
        <w:tc>
          <w:tcPr>
            <w:tcW w:w="32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Information asymmetry produces strategic signalling rather than direct coordination</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Principal-Agent Theory</w:t>
            </w:r>
          </w:p>
        </w:tc>
        <w:tc>
          <w:tcPr>
            <w:tcW w:w="41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Agents coordinate through public signals, not direct communication; government and Tata Steel's strategies align through signal-observation, not explicit coordination</w:t>
            </w:r>
          </w:p>
        </w:tc>
      </w:tr>
      <w:tr>
        <w:tc>
          <w:tcPr>
            <w:tcW w:w="32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Satisficing under bounded rationality produces adequate rather than optimal solutions</w:t>
            </w:r>
          </w:p>
        </w:tc>
        <w:tc>
          <w:tcPr>
            <w:tcW w:w="2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Simon (1955) / Cyert &amp; March (1963)</w:t>
            </w:r>
          </w:p>
        </w:tc>
        <w:tc>
          <w:tcPr>
            <w:tcW w:w="41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Agents do not converge on mathematically optimal strategies; instead they satisfice — Tata Steel diverts rather than renegotiating the tariff; DGTR applies 20% rather than maximum available duty rate</w:t>
            </w:r>
          </w:p>
        </w:tc>
      </w:tr>
    </w:tbl>
    <w:p>
      <w:pPr>
        <w:spacing w:before="60" w:after="60"/>
      </w:pPr>
    </w:p>
    <w:p>
      <w:pPr>
        <w:spacing w:before="80" w:after="80" w:line="360" w:lineRule="auto"/>
        <w:jc w:val="both"/>
        <w:rPr>
          <w:rFonts w:ascii="Times New Roman" w:hAnsi="Times New Roman" w:eastAsia="Times New Roman" w:cs="Times New Roman"/>
          <w:b/>
          <w:bCs/>
          <w:sz w:val="28"/>
          <w:szCs w:val="28"/>
        </w:rPr>
      </w:pPr>
      <w:r>
        <w:rPr>
          <w:rFonts w:ascii="Times New Roman" w:hAnsi="Times New Roman" w:eastAsia="Times New Roman" w:cs="Times New Roman"/>
          <w:sz w:val="24"/>
          <w:szCs w:val="24"/>
        </w:rPr>
        <w:t>The consistency between theoretical predictions and simulation outputs provides confidence in the framework's theoretical grounding. It also demonstrates the simulation's value as a teaching and research tool: it generates outputs that can be used to illustrate established theoretical concepts in a realistic, data-grounded context — an application with significant potential in executive education and strategy curriculum development.</w:t>
      </w:r>
    </w:p>
    <w:p>
      <w:pPr>
        <w:pStyle w:val="3"/>
        <w:spacing w:before="300" w:after="160"/>
        <w:jc w:val="left"/>
        <w:outlineLvl w:val="1"/>
      </w:pPr>
      <w:r>
        <w:rPr>
          <w:rFonts w:ascii="Times New Roman" w:hAnsi="Times New Roman" w:eastAsia="Times New Roman" w:cs="Times New Roman"/>
          <w:b/>
          <w:bCs/>
          <w:sz w:val="28"/>
          <w:szCs w:val="28"/>
        </w:rPr>
        <w:t>5.6 Conclusion</w:t>
      </w:r>
    </w:p>
    <w:p>
      <w:pPr>
        <w:spacing w:before="80" w:after="80" w:line="360" w:lineRule="auto"/>
        <w:jc w:val="both"/>
      </w:pPr>
      <w:r>
        <w:rPr>
          <w:rFonts w:ascii="Times New Roman" w:hAnsi="Times New Roman" w:eastAsia="Times New Roman" w:cs="Times New Roman"/>
          <w:sz w:val="24"/>
          <w:szCs w:val="24"/>
        </w:rPr>
        <w:t>This project set out to demonstrate the viability of a multi-agent AI simulation framework as a tool for strategic foresight in the Indian manufacturing sector. The framework was successfully designed, implemented with real financial data, and run to produce a three-round simulation of the Indian steel ecosystem’s response to a 50% US tariff shock.</w:t>
      </w:r>
    </w:p>
    <w:p>
      <w:pPr>
        <w:spacing w:before="60" w:after="60"/>
      </w:pPr>
    </w:p>
    <w:p>
      <w:pPr>
        <w:spacing w:before="80" w:after="80" w:line="360" w:lineRule="auto"/>
        <w:jc w:val="both"/>
      </w:pPr>
      <w:r>
        <w:rPr>
          <w:rFonts w:ascii="Times New Roman" w:hAnsi="Times New Roman" w:eastAsia="Times New Roman" w:cs="Times New Roman"/>
          <w:sz w:val="24"/>
          <w:szCs w:val="24"/>
        </w:rPr>
        <w:t>The results demonstrate that the framework produces strategically coherent, theoretically grounded, and historically plausible outputs. The six agents — representing Tata Steel, the Government of India, industrial consumers, iron ore suppliers, the DGTR, and FIIs — generated 18 round-decisions and 18 public market signals, constituting a rich narrative of ecosystem-level strategic adaptation that no single-actor analysis could have produced.</w:t>
      </w:r>
    </w:p>
    <w:p>
      <w:pPr>
        <w:spacing w:before="60" w:after="60"/>
      </w:pPr>
    </w:p>
    <w:p>
      <w:pPr>
        <w:spacing w:before="80" w:after="80" w:line="360" w:lineRule="auto"/>
        <w:jc w:val="both"/>
      </w:pPr>
      <w:r>
        <w:rPr>
          <w:rFonts w:ascii="Times New Roman" w:hAnsi="Times New Roman" w:eastAsia="Times New Roman" w:cs="Times New Roman"/>
          <w:sz w:val="24"/>
          <w:szCs w:val="24"/>
        </w:rPr>
        <w:t>The project validates the core proposition that drove its design: simulating business ecosystems as multi-actor systems, with LLM-powered agents grounded in real-world data, produces strategic foresight of a qualitatively different and richer character than single-actor analytical frameworks permit. The emergent outputs — including the DGTR’s decisive safeguard duty, the FII’s pre-emptive divestment, and the consumer’s pivot from market adaptation to political lobbying — represent strategic dynamics that are analytically significant and practically actionable, while being difficult or impossible to derive from traditional scenario planning methodologies.</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CHAPTER 6
RECOMMENDATIONS, LIMITATIONS,
AND FUTURE RESEARCH</w:t>
      </w:r>
    </w:p>
    <w:p>
      <w:pPr>
        <w:pStyle w:val="3"/>
        <w:spacing w:before="300" w:after="160"/>
        <w:jc w:val="left"/>
        <w:outlineLvl w:val="1"/>
      </w:pPr>
      <w:r>
        <w:rPr>
          <w:rFonts w:ascii="Times New Roman" w:hAnsi="Times New Roman" w:eastAsia="Times New Roman" w:cs="Times New Roman"/>
          <w:b/>
          <w:bCs/>
          <w:sz w:val="28"/>
          <w:szCs w:val="28"/>
        </w:rPr>
        <w:t>6.1 Recommendations for Companies</w:t>
      </w:r>
    </w:p>
    <w:p>
      <w:pPr>
        <w:spacing w:before="80" w:after="80" w:line="360" w:lineRule="auto"/>
        <w:jc w:val="both"/>
      </w:pPr>
      <w:r>
        <w:rPr>
          <w:rFonts w:ascii="Times New Roman" w:hAnsi="Times New Roman" w:eastAsia="Times New Roman" w:cs="Times New Roman"/>
          <w:sz w:val="24"/>
          <w:szCs w:val="24"/>
        </w:rPr>
        <w:t>Based on the simulation findings, the following recommendations are offered to companies operating in the Indian manufacturing sector:</w:t>
      </w:r>
    </w:p>
    <w:p>
      <w:pPr>
        <w:spacing w:before="60" w:after="60"/>
      </w:pPr>
    </w:p>
    <w:p>
      <w:pPr>
        <w:spacing w:before="80" w:after="80" w:line="360" w:lineRule="auto"/>
        <w:jc w:val="both"/>
      </w:pPr>
      <w:r>
        <w:rPr>
          <w:rFonts w:ascii="Times New Roman" w:hAnsi="Times New Roman" w:eastAsia="Times New Roman" w:cs="Times New Roman"/>
          <w:b/>
          <w:bCs/>
          <w:sz w:val="24"/>
          <w:szCs w:val="24"/>
        </w:rPr>
        <w:t>Recommendation 1: Pre-Position Export Diversification as a Permanent Hedging Strategy</w:t>
      </w:r>
    </w:p>
    <w:p>
      <w:pPr>
        <w:spacing w:before="80" w:after="80" w:line="360" w:lineRule="auto"/>
        <w:jc w:val="both"/>
      </w:pPr>
      <w:r>
        <w:rPr>
          <w:rFonts w:ascii="Times New Roman" w:hAnsi="Times New Roman" w:eastAsia="Times New Roman" w:cs="Times New Roman"/>
          <w:sz w:val="24"/>
          <w:szCs w:val="24"/>
        </w:rPr>
        <w:t>Do not treat export market diversification as a crisis response. The simulation demonstrates that the adjustment cost of reactive diversion is significantly higher than the maintenance cost of permanent multi-market positioning. Companies should target active commercial relationships in at least three distinct geographic regions at all times, with volume sufficient to absorb US-level shock diversion without margin destruction.</w:t>
      </w:r>
    </w:p>
    <w:p>
      <w:pPr>
        <w:spacing w:before="60" w:after="60"/>
      </w:pPr>
    </w:p>
    <w:p>
      <w:pPr>
        <w:spacing w:before="80" w:after="80" w:line="360" w:lineRule="auto"/>
        <w:jc w:val="both"/>
      </w:pPr>
      <w:r>
        <w:rPr>
          <w:rFonts w:ascii="Times New Roman" w:hAnsi="Times New Roman" w:eastAsia="Times New Roman" w:cs="Times New Roman"/>
          <w:b/>
          <w:bCs/>
          <w:sz w:val="24"/>
          <w:szCs w:val="24"/>
        </w:rPr>
        <w:t>Recommendation 2: Implement Standing Currency-Commodity Hedge Protocols</w:t>
      </w:r>
    </w:p>
    <w:p>
      <w:pPr>
        <w:spacing w:before="80" w:after="80" w:line="360" w:lineRule="auto"/>
        <w:jc w:val="both"/>
      </w:pPr>
      <w:r>
        <w:rPr>
          <w:rFonts w:ascii="Times New Roman" w:hAnsi="Times New Roman" w:eastAsia="Times New Roman" w:cs="Times New Roman"/>
          <w:sz w:val="24"/>
          <w:szCs w:val="24"/>
        </w:rPr>
        <w:t>Financial hedging (currency-commodity) activated by Tata Steel in Rounds 2 and 3 should be structural rather than reactive — integrated into treasury policy as a permanent feature of the financial risk management framework, not deployed only when a shock arrives.</w:t>
      </w:r>
    </w:p>
    <w:p>
      <w:pPr>
        <w:spacing w:before="60" w:after="60"/>
      </w:pPr>
    </w:p>
    <w:p>
      <w:pPr>
        <w:spacing w:before="80" w:after="80" w:line="360" w:lineRule="auto"/>
        <w:jc w:val="both"/>
      </w:pPr>
      <w:r>
        <w:rPr>
          <w:rFonts w:ascii="Times New Roman" w:hAnsi="Times New Roman" w:eastAsia="Times New Roman" w:cs="Times New Roman"/>
          <w:b/>
          <w:bCs/>
          <w:sz w:val="24"/>
          <w:szCs w:val="24"/>
        </w:rPr>
        <w:t>Recommendation 3: Invest in Ecosystem Intelligence Capabilities</w:t>
      </w:r>
    </w:p>
    <w:p>
      <w:pPr>
        <w:spacing w:before="80" w:after="80" w:line="360" w:lineRule="auto"/>
        <w:jc w:val="both"/>
      </w:pPr>
      <w:r>
        <w:rPr>
          <w:rFonts w:ascii="Times New Roman" w:hAnsi="Times New Roman" w:eastAsia="Times New Roman" w:cs="Times New Roman"/>
          <w:sz w:val="24"/>
          <w:szCs w:val="24"/>
        </w:rPr>
        <w:t>The simulation reveals that FII investor behaviour precedes and amplifies real-economy shock effects. Companies should monitor institutional investor positioning in their sector (using SEBI disclosure data and NSE equity flow data) as a leading indicator of macro trade and policy risk, enabling earlier strategic responses.</w:t>
      </w:r>
    </w:p>
    <w:p>
      <w:pPr>
        <w:spacing w:before="60" w:after="60"/>
      </w:pPr>
    </w:p>
    <w:p>
      <w:pPr>
        <w:spacing w:before="80" w:after="80" w:line="360" w:lineRule="auto"/>
        <w:jc w:val="both"/>
      </w:pPr>
      <w:r>
        <w:rPr>
          <w:rFonts w:ascii="Times New Roman" w:hAnsi="Times New Roman" w:eastAsia="Times New Roman" w:cs="Times New Roman"/>
          <w:b/>
          <w:bCs/>
          <w:sz w:val="24"/>
          <w:szCs w:val="24"/>
        </w:rPr>
        <w:t>Recommendation 4: Build Government Relations as a Resilience Asset</w:t>
      </w:r>
    </w:p>
    <w:p>
      <w:pPr>
        <w:spacing w:before="80" w:after="80" w:line="360" w:lineRule="auto"/>
        <w:jc w:val="both"/>
      </w:pPr>
      <w:r>
        <w:rPr>
          <w:rFonts w:ascii="Times New Roman" w:hAnsi="Times New Roman" w:eastAsia="Times New Roman" w:cs="Times New Roman"/>
          <w:sz w:val="24"/>
          <w:szCs w:val="24"/>
        </w:rPr>
        <w:t>The speed and clarity of the Government of India’s Round 1 response was a critical enabler of corporate adaptation. Companies should maintain proactive government engagement — through industry associations, direct advocacy, and structured lobbying — to ensure that government response protocols are well-calibrated to the sector’s needs before shocks arrive.</w:t>
      </w:r>
    </w:p>
    <w:p>
      <w:pPr>
        <w:pStyle w:val="3"/>
        <w:spacing w:before="300" w:after="160"/>
        <w:jc w:val="left"/>
        <w:outlineLvl w:val="1"/>
        <w:rPr>
          <w:rFonts w:ascii="Times New Roman" w:hAnsi="Times New Roman" w:eastAsia="Times New Roman" w:cs="Times New Roman"/>
          <w:b/>
          <w:bCs/>
          <w:sz w:val="28"/>
          <w:szCs w:val="28"/>
        </w:rPr>
      </w:pPr>
    </w:p>
    <w:p>
      <w:pPr>
        <w:pStyle w:val="3"/>
        <w:spacing w:before="300" w:after="160"/>
        <w:jc w:val="left"/>
        <w:outlineLvl w:val="1"/>
        <w:rPr>
          <w:rFonts w:ascii="Times New Roman" w:hAnsi="Times New Roman" w:eastAsia="Times New Roman" w:cs="Times New Roman"/>
          <w:b/>
          <w:bCs/>
          <w:sz w:val="28"/>
          <w:szCs w:val="28"/>
        </w:rPr>
      </w:pPr>
    </w:p>
    <w:p>
      <w:pPr>
        <w:pStyle w:val="3"/>
        <w:spacing w:before="300" w:after="160"/>
        <w:jc w:val="left"/>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6.2 Recommendations for Regulators and Government</w:t>
      </w:r>
    </w:p>
    <w:p/>
    <w:p>
      <w:pPr>
        <w:spacing w:before="80" w:after="80" w:line="360" w:lineRule="auto"/>
        <w:jc w:val="both"/>
      </w:pPr>
      <w:r>
        <w:rPr>
          <w:rFonts w:ascii="Times New Roman" w:hAnsi="Times New Roman" w:eastAsia="Times New Roman" w:cs="Times New Roman"/>
          <w:b/>
          <w:bCs/>
          <w:sz w:val="24"/>
          <w:szCs w:val="24"/>
        </w:rPr>
        <w:t>Recommendation 5: Establish a Rapid Trade Remedy Response Protocol</w:t>
      </w:r>
    </w:p>
    <w:p>
      <w:pPr>
        <w:spacing w:before="80" w:after="80" w:line="360" w:lineRule="auto"/>
        <w:jc w:val="both"/>
      </w:pPr>
      <w:r>
        <w:rPr>
          <w:rFonts w:ascii="Times New Roman" w:hAnsi="Times New Roman" w:eastAsia="Times New Roman" w:cs="Times New Roman"/>
          <w:sz w:val="24"/>
          <w:szCs w:val="24"/>
        </w:rPr>
        <w:t>The Ministry of Commerce and DGTR should work together to create a pre-authorised rapid-response track for safeguard investigations triggered by major international trade policy shocks — enabling provisional duty imposition within 60–90 days rather than the current 8+ months. The simulation demonstrates that the timing of this action is decisive for ecosystem stabilisation.</w:t>
      </w:r>
    </w:p>
    <w:p>
      <w:pPr>
        <w:spacing w:before="60" w:after="60"/>
      </w:pPr>
    </w:p>
    <w:p>
      <w:pPr>
        <w:spacing w:before="80" w:after="80" w:line="360" w:lineRule="auto"/>
        <w:jc w:val="both"/>
      </w:pPr>
      <w:r>
        <w:rPr>
          <w:rFonts w:ascii="Times New Roman" w:hAnsi="Times New Roman" w:eastAsia="Times New Roman" w:cs="Times New Roman"/>
          <w:b/>
          <w:bCs/>
          <w:sz w:val="24"/>
          <w:szCs w:val="24"/>
        </w:rPr>
        <w:t>Recommendation 6: Design PLI Schemes with Shock-Activated Tranches</w:t>
      </w:r>
    </w:p>
    <w:p>
      <w:pPr>
        <w:spacing w:before="80" w:after="80" w:line="360" w:lineRule="auto"/>
        <w:jc w:val="both"/>
      </w:pPr>
      <w:r>
        <w:rPr>
          <w:rFonts w:ascii="Times New Roman" w:hAnsi="Times New Roman" w:eastAsia="Times New Roman" w:cs="Times New Roman"/>
          <w:sz w:val="24"/>
          <w:szCs w:val="24"/>
        </w:rPr>
        <w:t>Production-Linked Incentives should include pre-defined shock-activated tranches that can be deployed immediately upon the occurrence of trigger events (major tariff impositions, commodity price spikes above defined thresholds) — reducing the delay between shock onset and government support.</w:t>
      </w:r>
    </w:p>
    <w:p>
      <w:pPr>
        <w:spacing w:before="60" w:after="60"/>
      </w:pPr>
    </w:p>
    <w:p>
      <w:pPr>
        <w:spacing w:before="80" w:after="80" w:line="360" w:lineRule="auto"/>
        <w:jc w:val="both"/>
      </w:pPr>
      <w:r>
        <w:rPr>
          <w:rFonts w:ascii="Times New Roman" w:hAnsi="Times New Roman" w:eastAsia="Times New Roman" w:cs="Times New Roman"/>
          <w:b/>
          <w:bCs/>
          <w:sz w:val="24"/>
          <w:szCs w:val="24"/>
        </w:rPr>
        <w:t>Recommendation 7: Engage WTO Dispute Mechanism as Diplomacy, Not Strategy</w:t>
      </w:r>
    </w:p>
    <w:p>
      <w:pPr>
        <w:spacing w:before="80" w:after="80" w:line="360" w:lineRule="auto"/>
        <w:jc w:val="both"/>
      </w:pPr>
      <w:r>
        <w:rPr>
          <w:rFonts w:ascii="Times New Roman" w:hAnsi="Times New Roman" w:eastAsia="Times New Roman" w:cs="Times New Roman"/>
          <w:sz w:val="24"/>
          <w:szCs w:val="24"/>
        </w:rPr>
        <w:t>The simulation confirms that WTO dispute procedures operate on multi-year timelines and provide no near-term protection. They should be pursued for their signalling and diplomatic value — demonstrating India’s commitment to rules-based trade — but not relied upon as an operational trade policy response.</w:t>
      </w:r>
    </w:p>
    <w:p>
      <w:pPr>
        <w:pStyle w:val="3"/>
        <w:spacing w:before="300" w:after="160"/>
        <w:jc w:val="left"/>
        <w:outlineLvl w:val="1"/>
      </w:pPr>
      <w:r>
        <w:rPr>
          <w:rFonts w:ascii="Times New Roman" w:hAnsi="Times New Roman" w:eastAsia="Times New Roman" w:cs="Times New Roman"/>
          <w:b/>
          <w:bCs/>
          <w:sz w:val="28"/>
          <w:szCs w:val="28"/>
        </w:rPr>
        <w:t>6.3 Limitations of the Study</w:t>
      </w:r>
    </w:p>
    <w:p>
      <w:pPr>
        <w:spacing w:before="80" w:after="80" w:line="360" w:lineRule="auto"/>
        <w:jc w:val="both"/>
      </w:pPr>
      <w:r>
        <w:rPr>
          <w:rFonts w:ascii="Times New Roman" w:hAnsi="Times New Roman" w:eastAsia="Times New Roman" w:cs="Times New Roman"/>
          <w:b/>
          <w:bCs/>
          <w:sz w:val="24"/>
          <w:szCs w:val="24"/>
        </w:rPr>
        <w:t>Limitation 1: Prototype-Level LLM Reasoning.</w:t>
      </w:r>
      <w:r>
        <w:rPr>
          <w:rFonts w:ascii="Times New Roman" w:hAnsi="Times New Roman" w:eastAsia="Times New Roman" w:cs="Times New Roman"/>
          <w:sz w:val="24"/>
          <w:szCs w:val="24"/>
        </w:rPr>
        <w:t xml:space="preserve"> LLM agents generate strategically plausible but not strictly optimal decisions. The outputs represent one plausible trajectory of ecosystem dynamics, not the unique Nash Equilibrium outcome.</w:t>
      </w:r>
    </w:p>
    <w:p>
      <w:pPr>
        <w:spacing w:before="60" w:after="60"/>
      </w:pPr>
    </w:p>
    <w:p>
      <w:pPr>
        <w:spacing w:before="80" w:after="80" w:line="360" w:lineRule="auto"/>
        <w:jc w:val="both"/>
      </w:pPr>
      <w:r>
        <w:rPr>
          <w:rFonts w:ascii="Times New Roman" w:hAnsi="Times New Roman" w:eastAsia="Times New Roman" w:cs="Times New Roman"/>
          <w:b/>
          <w:bCs/>
          <w:sz w:val="24"/>
          <w:szCs w:val="24"/>
        </w:rPr>
        <w:t>Limitation 2: Secondary Data Currency.</w:t>
      </w:r>
      <w:r>
        <w:rPr>
          <w:rFonts w:ascii="Times New Roman" w:hAnsi="Times New Roman" w:eastAsia="Times New Roman" w:cs="Times New Roman"/>
          <w:sz w:val="24"/>
          <w:szCs w:val="24"/>
        </w:rPr>
        <w:t xml:space="preserve"> Agent profiles are grounded in FY2024-25 annual report data. Rapidly changing financial conditions may not be reflected. The simulation is as current as its data inputs.</w:t>
      </w:r>
    </w:p>
    <w:p>
      <w:pPr>
        <w:spacing w:before="60" w:after="60"/>
      </w:pPr>
    </w:p>
    <w:p>
      <w:pPr>
        <w:spacing w:before="80" w:after="80" w:line="360" w:lineRule="auto"/>
        <w:jc w:val="both"/>
      </w:pPr>
      <w:r>
        <w:rPr>
          <w:rFonts w:ascii="Times New Roman" w:hAnsi="Times New Roman" w:eastAsia="Times New Roman" w:cs="Times New Roman"/>
          <w:b/>
          <w:bCs/>
          <w:sz w:val="24"/>
          <w:szCs w:val="24"/>
        </w:rPr>
        <w:t>Limitation 3: Agent Scope.</w:t>
      </w:r>
      <w:r>
        <w:rPr>
          <w:rFonts w:ascii="Times New Roman" w:hAnsi="Times New Roman" w:eastAsia="Times New Roman" w:cs="Times New Roman"/>
          <w:sz w:val="24"/>
          <w:szCs w:val="24"/>
        </w:rPr>
        <w:t xml:space="preserve"> The current simulation includes six agents. Real ecosystems include dozens of actors — Chinese steel producers, US steel consumers, multilateral institutions, banks — whose absence represents a known simplification.</w:t>
      </w:r>
    </w:p>
    <w:p>
      <w:pPr>
        <w:spacing w:before="60" w:after="60"/>
      </w:pPr>
    </w:p>
    <w:p>
      <w:pPr>
        <w:spacing w:before="80" w:after="80" w:line="360" w:lineRule="auto"/>
        <w:jc w:val="both"/>
      </w:pPr>
      <w:r>
        <w:rPr>
          <w:rFonts w:ascii="Times New Roman" w:hAnsi="Times New Roman" w:eastAsia="Times New Roman" w:cs="Times New Roman"/>
          <w:b/>
          <w:bCs/>
          <w:sz w:val="24"/>
          <w:szCs w:val="24"/>
        </w:rPr>
        <w:t>Limitation 4: Computational Cost and Scalability.</w:t>
      </w:r>
      <w:r>
        <w:rPr>
          <w:rFonts w:ascii="Times New Roman" w:hAnsi="Times New Roman" w:eastAsia="Times New Roman" w:cs="Times New Roman"/>
          <w:sz w:val="24"/>
          <w:szCs w:val="24"/>
        </w:rPr>
        <w:t xml:space="preserve"> At USD 2–4 per three-round run, large-scale sensitivity analysis (running 100+ scenarios with parameter variations) is commercially constrained. This limits the statistical robustness of findings.</w:t>
      </w:r>
    </w:p>
    <w:p>
      <w:pPr>
        <w:pStyle w:val="3"/>
        <w:spacing w:before="300" w:after="160"/>
        <w:jc w:val="left"/>
        <w:outlineLvl w:val="1"/>
      </w:pPr>
      <w:bookmarkStart w:id="0" w:name="_GoBack"/>
      <w:bookmarkEnd w:id="0"/>
      <w:r>
        <w:rPr>
          <w:rFonts w:ascii="Times New Roman" w:hAnsi="Times New Roman" w:eastAsia="Times New Roman" w:cs="Times New Roman"/>
          <w:b/>
          <w:bCs/>
          <w:sz w:val="28"/>
          <w:szCs w:val="28"/>
        </w:rPr>
        <w:t>6.4 Future Research Directions</w:t>
      </w:r>
    </w:p>
    <w:p>
      <w:pPr>
        <w:spacing w:before="80" w:after="80" w:line="360" w:lineRule="auto"/>
        <w:jc w:val="both"/>
      </w:pPr>
      <w:r>
        <w:rPr>
          <w:rFonts w:ascii="Times New Roman" w:hAnsi="Times New Roman" w:eastAsia="Times New Roman" w:cs="Times New Roman"/>
          <w:b/>
          <w:bCs/>
          <w:sz w:val="24"/>
          <w:szCs w:val="24"/>
        </w:rPr>
        <w:t xml:space="preserve">Horizon 2 — Web-Based War-Game Tool: </w:t>
      </w:r>
      <w:r>
        <w:rPr>
          <w:rFonts w:ascii="Times New Roman" w:hAnsi="Times New Roman" w:eastAsia="Times New Roman" w:cs="Times New Roman"/>
          <w:sz w:val="24"/>
          <w:szCs w:val="24"/>
        </w:rPr>
        <w:t>The next development phase envisions a web-based platform that makes the simulation accessible without programming knowledge. Users would configure agent ecosystems through a drag-and-drop interface, define shock scenarios through structured forms, and receive interactive simulation outputs with visualisations. This would make the tool accessible to strategy consultants, risk analysts, and policy teams who may not have programming skills but have deep domain knowledge.</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Horizon 3 — SaaS Platform with Real-Time Data: </w:t>
      </w:r>
      <w:r>
        <w:rPr>
          <w:rFonts w:ascii="Times New Roman" w:hAnsi="Times New Roman" w:eastAsia="Times New Roman" w:cs="Times New Roman"/>
          <w:sz w:val="24"/>
          <w:szCs w:val="24"/>
        </w:rPr>
        <w:t>The long-term vision is a subscription SaaS product that ingests real-time market data (LME prices, RBI exchange rates, SEBI filings, news feeds) to keep agent profiles current automatically, and allows clients to run simulations on-demand with proprietary scenario libraries. Potential client segments include corporate strategy functions of large industrial conglomerates, government trade policy departments, multilateral development banks, and strategy consulting firms.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Auto-generation of Agent Profiles: </w:t>
      </w:r>
      <w:r>
        <w:rPr>
          <w:rFonts w:ascii="Times New Roman" w:hAnsi="Times New Roman" w:eastAsia="Times New Roman" w:cs="Times New Roman"/>
          <w:sz w:val="24"/>
          <w:szCs w:val="24"/>
        </w:rPr>
        <w:t>A significant friction point in deploying the simulation for new companies or sectors is the manual construction of agent profiles. Future research should develop an automated pipeline that extracts structured financial and strategic data from public company filings (annual reports, exchange submissions) using OCR and natural language extraction, populating agent profiles without manual intervention. This would enable the simulation to be deployed for any publicly listed company within minutes.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Multi-Shock Concurrent Scenario Modelling: </w:t>
      </w:r>
      <w:r>
        <w:rPr>
          <w:rFonts w:ascii="Times New Roman" w:hAnsi="Times New Roman" w:eastAsia="Times New Roman" w:cs="Times New Roman"/>
          <w:sz w:val="24"/>
          <w:szCs w:val="24"/>
        </w:rPr>
        <w:t>The current framework models one shock at a time. Real-world strategic environments frequently involve concurrent shocks — tariff escalation alongside commodity price spike, or supply chain disruption coinciding with a domestic regulatory change. Future versions of the engine should allow multiple shocks to be active simultaneously, with parameterised interaction effects that capture shock compounding or shock cancellation dynamics.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Broader Agent Taxonomies: </w:t>
      </w:r>
      <w:r>
        <w:rPr>
          <w:rFonts w:ascii="Times New Roman" w:hAnsi="Times New Roman" w:eastAsia="Times New Roman" w:cs="Times New Roman"/>
          <w:sz w:val="24"/>
          <w:szCs w:val="24"/>
        </w:rPr>
        <w:t>The current six-agent configuration is deliberately focused for initial demonstration. Real manufacturing ecosystems involve many additional actor types: media and public opinion (affecting consumer and investor sentiment), labour unions (affecting production capacity under labour unrest), domestic banks (affecting corporate financing conditions), and multilateral institutions (WTO, IMF, World Bank) that create binding constraints. Future research should develop standardised agent templates for each of these actor types, enabling richer and more realistic ecosystem simulations.</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Longitudinal Quantitative Validation: </w:t>
      </w:r>
      <w:r>
        <w:rPr>
          <w:rFonts w:ascii="Times New Roman" w:hAnsi="Times New Roman" w:eastAsia="Times New Roman" w:cs="Times New Roman"/>
          <w:sz w:val="24"/>
          <w:szCs w:val="24"/>
        </w:rPr>
        <w:t>The current back-testing is qualitative — comparing the direction of simulated agent strategies against observed historical behaviour. A stronger validation methodology would run the simulation across a historical event (e.g., the 2018 Section 232 tariff announcement) and quantitatively compare simulated confidence trajectories, trade route adjustments, and public signal content against detailed historical market data from that period. This would require detailed historical company announcements, equity flow data, and price data at quarterly or monthly granularity — a significant but achievable data acquisition challenge.</w:t>
      </w:r>
    </w:p>
    <w:p>
      <w:pPr>
        <w:spacing w:before="60" w:after="60"/>
      </w:pPr>
    </w:p>
    <w:p>
      <w:pPr>
        <w:spacing w:before="80" w:after="80" w:line="360" w:lineRule="auto"/>
        <w:jc w:val="both"/>
      </w:pPr>
      <w:r>
        <w:rPr>
          <w:rFonts w:ascii="Times New Roman" w:hAnsi="Times New Roman" w:eastAsia="Times New Roman" w:cs="Times New Roman"/>
          <w:b/>
          <w:bCs/>
          <w:sz w:val="24"/>
          <w:szCs w:val="24"/>
        </w:rPr>
        <w:t xml:space="preserve">Application to Other Indian Manufacturing Sectors: </w:t>
      </w:r>
      <w:r>
        <w:rPr>
          <w:rFonts w:ascii="Times New Roman" w:hAnsi="Times New Roman" w:eastAsia="Times New Roman" w:cs="Times New Roman"/>
          <w:sz w:val="24"/>
          <w:szCs w:val="24"/>
        </w:rPr>
        <w:t>The framework is sector-agnostic by design. Future research should apply the simulation to other Indian manufacturing sectors exposed to trade policy and commodity price volatility: pharmaceuticals (active pharmaceutical ingredient import dependency from China), semiconductors and electronics (export incentive dynamics under PLI), and textiles (global cotton price volatility and US import duty implications). Each sector would require custom agent profiles but could use the same engine, scenario, and resolution architecture.</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REFERENCES</w:t>
      </w:r>
    </w:p>
    <w:p>
      <w:pPr>
        <w:spacing w:before="60" w:after="60" w:line="360" w:lineRule="auto"/>
        <w:ind w:left="720" w:hanging="720"/>
        <w:jc w:val="both"/>
      </w:pPr>
      <w:r>
        <w:rPr>
          <w:rFonts w:ascii="Times New Roman" w:hAnsi="Times New Roman" w:eastAsia="Times New Roman" w:cs="Times New Roman"/>
          <w:sz w:val="24"/>
          <w:szCs w:val="24"/>
        </w:rPr>
        <w:t>Axelrod, R. (1984). The Evolution of Cooperation. New York: Basic Books.</w:t>
      </w:r>
    </w:p>
    <w:p>
      <w:pPr>
        <w:spacing w:before="60" w:after="60" w:line="360" w:lineRule="auto"/>
        <w:ind w:left="720" w:hanging="720"/>
        <w:jc w:val="both"/>
      </w:pPr>
      <w:r>
        <w:rPr>
          <w:rFonts w:ascii="Times New Roman" w:hAnsi="Times New Roman" w:eastAsia="Times New Roman" w:cs="Times New Roman"/>
          <w:sz w:val="24"/>
          <w:szCs w:val="24"/>
        </w:rPr>
        <w:t>Arthur, W.B. (1994). Increasing Returns and Path Dependence in the Economy. Ann Arbor: University of Michigan Press.</w:t>
      </w:r>
    </w:p>
    <w:p>
      <w:pPr>
        <w:spacing w:before="60" w:after="60" w:line="360" w:lineRule="auto"/>
        <w:ind w:left="720" w:hanging="720"/>
        <w:jc w:val="both"/>
      </w:pPr>
      <w:r>
        <w:rPr>
          <w:rFonts w:ascii="Times New Roman" w:hAnsi="Times New Roman" w:eastAsia="Times New Roman" w:cs="Times New Roman"/>
          <w:sz w:val="24"/>
          <w:szCs w:val="24"/>
        </w:rPr>
        <w:t>Barney, J.B. (1991). Firm Resources and Sustained Competitive Advantage. Journal of Management, 17(1), 99–120.</w:t>
      </w:r>
    </w:p>
    <w:p>
      <w:pPr>
        <w:spacing w:before="60" w:after="60" w:line="360" w:lineRule="auto"/>
        <w:ind w:left="720" w:hanging="720"/>
        <w:jc w:val="both"/>
      </w:pPr>
      <w:r>
        <w:rPr>
          <w:rFonts w:ascii="Times New Roman" w:hAnsi="Times New Roman" w:eastAsia="Times New Roman" w:cs="Times New Roman"/>
          <w:sz w:val="24"/>
          <w:szCs w:val="24"/>
        </w:rPr>
        <w:t>Brown, T., Mann, B., Ryder, N., et al. (2020). Language Models are Few-Shot Learners. Advances in Neural Information Processing Systems, 33, 1877–1901.</w:t>
      </w:r>
    </w:p>
    <w:p>
      <w:pPr>
        <w:spacing w:before="60" w:after="60" w:line="360" w:lineRule="auto"/>
        <w:ind w:left="720" w:hanging="720"/>
        <w:jc w:val="both"/>
      </w:pPr>
      <w:r>
        <w:rPr>
          <w:rFonts w:ascii="Times New Roman" w:hAnsi="Times New Roman" w:eastAsia="Times New Roman" w:cs="Times New Roman"/>
          <w:sz w:val="24"/>
          <w:szCs w:val="24"/>
        </w:rPr>
        <w:t>Epstein, J.M. &amp; Axtell, R. (1996). Growing Artificial Societies: Social Science from the Bottom Up. Washington D.C.: Brookings Institution Press.</w:t>
      </w:r>
    </w:p>
    <w:p>
      <w:pPr>
        <w:spacing w:before="60" w:after="60" w:line="360" w:lineRule="auto"/>
        <w:ind w:left="720" w:hanging="720"/>
        <w:jc w:val="both"/>
      </w:pPr>
      <w:r>
        <w:rPr>
          <w:rFonts w:ascii="Times New Roman" w:hAnsi="Times New Roman" w:eastAsia="Times New Roman" w:cs="Times New Roman"/>
          <w:sz w:val="24"/>
          <w:szCs w:val="24"/>
        </w:rPr>
        <w:t>Gilad, B. (2009). Business War Games. Pompton Plains, NJ: Career Press.</w:t>
      </w:r>
    </w:p>
    <w:p>
      <w:pPr>
        <w:spacing w:before="60" w:after="60" w:line="360" w:lineRule="auto"/>
        <w:ind w:left="720" w:hanging="720"/>
        <w:jc w:val="both"/>
      </w:pPr>
      <w:r>
        <w:rPr>
          <w:rFonts w:ascii="Times New Roman" w:hAnsi="Times New Roman" w:eastAsia="Times New Roman" w:cs="Times New Roman"/>
          <w:sz w:val="24"/>
          <w:szCs w:val="24"/>
        </w:rPr>
        <w:t>Heijden, K. van der (1996). Scenarios: The Art of Strategic Conversation. Chichester: John Wiley &amp; Sons.</w:t>
      </w:r>
    </w:p>
    <w:p>
      <w:pPr>
        <w:spacing w:before="60" w:after="60" w:line="360" w:lineRule="auto"/>
        <w:ind w:left="720" w:hanging="720"/>
        <w:jc w:val="both"/>
      </w:pPr>
      <w:r>
        <w:rPr>
          <w:rFonts w:ascii="Times New Roman" w:hAnsi="Times New Roman" w:eastAsia="Times New Roman" w:cs="Times New Roman"/>
          <w:sz w:val="24"/>
          <w:szCs w:val="24"/>
        </w:rPr>
        <w:t>Holmstrom, B. (1979). Moral Hazard and Observability. Bell Journal of Economics, 10(1), 74–91.</w:t>
      </w:r>
    </w:p>
    <w:p>
      <w:pPr>
        <w:spacing w:before="60" w:after="60" w:line="360" w:lineRule="auto"/>
        <w:ind w:left="720" w:hanging="720"/>
        <w:jc w:val="both"/>
      </w:pPr>
      <w:r>
        <w:rPr>
          <w:rFonts w:ascii="Times New Roman" w:hAnsi="Times New Roman" w:eastAsia="Times New Roman" w:cs="Times New Roman"/>
          <w:sz w:val="24"/>
          <w:szCs w:val="24"/>
        </w:rPr>
        <w:t>Jensen, M.C. &amp; Meckling, W.H. (1976). Theory of the Firm: Managerial Behavior, Agency Costs, and Ownership Structure. Journal of Financial Economics, 3(4), 305–360.</w:t>
      </w:r>
    </w:p>
    <w:p>
      <w:pPr>
        <w:spacing w:before="60" w:after="60" w:line="360" w:lineRule="auto"/>
        <w:ind w:left="720" w:hanging="720"/>
        <w:jc w:val="both"/>
      </w:pPr>
      <w:r>
        <w:rPr>
          <w:rFonts w:ascii="Times New Roman" w:hAnsi="Times New Roman" w:eastAsia="Times New Roman" w:cs="Times New Roman"/>
          <w:sz w:val="24"/>
          <w:szCs w:val="24"/>
        </w:rPr>
        <w:t>Kahneman, D. &amp; Tversky, A. (1979). Prospect Theory: An Analysis of Decision under Risk. Econometrica, 47(2), 263–291.</w:t>
      </w:r>
    </w:p>
    <w:p>
      <w:pPr>
        <w:spacing w:before="60" w:after="60" w:line="360" w:lineRule="auto"/>
        <w:ind w:left="720" w:hanging="720"/>
        <w:jc w:val="both"/>
      </w:pPr>
      <w:r>
        <w:rPr>
          <w:rFonts w:ascii="Times New Roman" w:hAnsi="Times New Roman" w:eastAsia="Times New Roman" w:cs="Times New Roman"/>
          <w:sz w:val="24"/>
          <w:szCs w:val="24"/>
        </w:rPr>
        <w:t>LeBaron, B. (2006). Agent-Based Computational Finance. In: Tesfatsion, L. &amp; Judd, K.L. (Eds.), Handbook of Computational Economics, Vol. 2. Amsterdam: Elsevier.</w:t>
      </w:r>
    </w:p>
    <w:p>
      <w:pPr>
        <w:spacing w:before="60" w:after="60" w:line="360" w:lineRule="auto"/>
        <w:ind w:left="720" w:hanging="720"/>
        <w:jc w:val="both"/>
      </w:pPr>
      <w:r>
        <w:rPr>
          <w:rFonts w:ascii="Times New Roman" w:hAnsi="Times New Roman" w:eastAsia="Times New Roman" w:cs="Times New Roman"/>
          <w:sz w:val="24"/>
          <w:szCs w:val="24"/>
        </w:rPr>
        <w:t>Lomi, A. &amp; Larsen, E.R. (Eds.) (2001). Dynamics of Organizations. Cambridge, MA: MIT Press.</w:t>
      </w:r>
    </w:p>
    <w:p>
      <w:pPr>
        <w:spacing w:before="60" w:after="60" w:line="360" w:lineRule="auto"/>
        <w:ind w:left="720" w:hanging="720"/>
        <w:jc w:val="both"/>
      </w:pPr>
      <w:r>
        <w:rPr>
          <w:rFonts w:ascii="Times New Roman" w:hAnsi="Times New Roman" w:eastAsia="Times New Roman" w:cs="Times New Roman"/>
          <w:sz w:val="24"/>
          <w:szCs w:val="24"/>
        </w:rPr>
        <w:t>Malerba, F., Nelson, R., Orsenigo, L. &amp; Winter, S. (1999). ‘History Friendly’ Models of Industry Evolution: The Computer Industry. Industrial and Corporate Change, 8(1), 3–40.</w:t>
      </w:r>
    </w:p>
    <w:p>
      <w:pPr>
        <w:spacing w:before="60" w:after="60" w:line="360" w:lineRule="auto"/>
        <w:ind w:left="720" w:hanging="720"/>
        <w:jc w:val="both"/>
      </w:pPr>
      <w:r>
        <w:rPr>
          <w:rFonts w:ascii="Times New Roman" w:hAnsi="Times New Roman" w:eastAsia="Times New Roman" w:cs="Times New Roman"/>
          <w:sz w:val="24"/>
          <w:szCs w:val="24"/>
        </w:rPr>
        <w:t>Ministry of Steel, Government of India (2024). Annual Report 2023–24. New Delhi: Ministry of Steel.</w:t>
      </w:r>
    </w:p>
    <w:p>
      <w:pPr>
        <w:spacing w:before="60" w:after="60" w:line="360" w:lineRule="auto"/>
        <w:ind w:left="720" w:hanging="720"/>
        <w:jc w:val="both"/>
      </w:pPr>
      <w:r>
        <w:rPr>
          <w:rFonts w:ascii="Times New Roman" w:hAnsi="Times New Roman" w:eastAsia="Times New Roman" w:cs="Times New Roman"/>
          <w:sz w:val="24"/>
          <w:szCs w:val="24"/>
        </w:rPr>
        <w:t>Ministry of Steel, Government of India (2017). National Steel Policy 2017. New Delhi: Ministry of Steel.</w:t>
      </w:r>
    </w:p>
    <w:p>
      <w:pPr>
        <w:spacing w:before="60" w:after="60" w:line="360" w:lineRule="auto"/>
        <w:ind w:left="720" w:hanging="720"/>
        <w:jc w:val="both"/>
      </w:pPr>
      <w:r>
        <w:rPr>
          <w:rFonts w:ascii="Times New Roman" w:hAnsi="Times New Roman" w:eastAsia="Times New Roman" w:cs="Times New Roman"/>
          <w:sz w:val="24"/>
          <w:szCs w:val="24"/>
        </w:rPr>
        <w:t>Nash, J.F. (1950). Equilibrium Points in N-Person Games. Proceedings of the National Academy of Sciences, 36(1), 48–49.</w:t>
      </w:r>
    </w:p>
    <w:p>
      <w:pPr>
        <w:spacing w:before="60" w:after="60" w:line="360" w:lineRule="auto"/>
        <w:ind w:left="720" w:hanging="720"/>
        <w:jc w:val="both"/>
      </w:pPr>
      <w:r>
        <w:rPr>
          <w:rFonts w:ascii="Times New Roman" w:hAnsi="Times New Roman" w:eastAsia="Times New Roman" w:cs="Times New Roman"/>
          <w:sz w:val="24"/>
          <w:szCs w:val="24"/>
        </w:rPr>
        <w:t>Park, J.S., O’Brien, J.C., Cai, C.J., Morris, M.R., Liang, P. &amp; Bernstein, M.S. (2023). Generative Agents: Interactive Simulacra of Human Behavior. In: Proceedings of the 36th Annual ACM Symposium on User Interface Software and Technology (UIST ’23).</w:t>
      </w:r>
    </w:p>
    <w:p>
      <w:pPr>
        <w:spacing w:before="60" w:after="60" w:line="360" w:lineRule="auto"/>
        <w:ind w:left="720" w:hanging="720"/>
        <w:jc w:val="both"/>
      </w:pPr>
      <w:r>
        <w:rPr>
          <w:rFonts w:ascii="Times New Roman" w:hAnsi="Times New Roman" w:eastAsia="Times New Roman" w:cs="Times New Roman"/>
          <w:sz w:val="24"/>
          <w:szCs w:val="24"/>
        </w:rPr>
        <w:t>Porter, M.E. (1980). Competitive Strategy: Techniques for Analysing Industries and Competitors. New York: Free Press.</w:t>
      </w:r>
    </w:p>
    <w:p>
      <w:pPr>
        <w:spacing w:before="60" w:after="60" w:line="360" w:lineRule="auto"/>
        <w:ind w:left="720" w:hanging="720"/>
        <w:jc w:val="both"/>
      </w:pPr>
      <w:r>
        <w:rPr>
          <w:rFonts w:ascii="Times New Roman" w:hAnsi="Times New Roman" w:eastAsia="Times New Roman" w:cs="Times New Roman"/>
          <w:sz w:val="24"/>
          <w:szCs w:val="24"/>
        </w:rPr>
        <w:t>Porter, M.E. (1990). The Competitive Advantage of Nations. New York: Free Press.</w:t>
      </w:r>
    </w:p>
    <w:p>
      <w:pPr>
        <w:spacing w:before="60" w:after="60" w:line="360" w:lineRule="auto"/>
        <w:ind w:left="720" w:hanging="720"/>
        <w:jc w:val="both"/>
      </w:pPr>
      <w:r>
        <w:rPr>
          <w:rFonts w:ascii="Times New Roman" w:hAnsi="Times New Roman" w:eastAsia="Times New Roman" w:cs="Times New Roman"/>
          <w:sz w:val="24"/>
          <w:szCs w:val="24"/>
        </w:rPr>
        <w:t>Schwartz, P. (1991). The Art of the Long View: Planning for the Future in an Uncertain World. New York: Doubleday.</w:t>
      </w:r>
    </w:p>
    <w:p>
      <w:pPr>
        <w:spacing w:before="60" w:after="60" w:line="360" w:lineRule="auto"/>
        <w:ind w:left="720" w:hanging="720"/>
        <w:jc w:val="both"/>
      </w:pPr>
      <w:r>
        <w:rPr>
          <w:rFonts w:ascii="Times New Roman" w:hAnsi="Times New Roman" w:eastAsia="Times New Roman" w:cs="Times New Roman"/>
          <w:sz w:val="24"/>
          <w:szCs w:val="24"/>
        </w:rPr>
        <w:t>Simon, H.A. (1955). A Behavioral Model of Rational Choice. Quarterly Journal of Economics, 69(1), 99–118.</w:t>
      </w:r>
    </w:p>
    <w:p>
      <w:pPr>
        <w:spacing w:before="60" w:after="60" w:line="360" w:lineRule="auto"/>
        <w:ind w:left="720" w:hanging="720"/>
        <w:jc w:val="both"/>
      </w:pPr>
      <w:r>
        <w:rPr>
          <w:rFonts w:ascii="Times New Roman" w:hAnsi="Times New Roman" w:eastAsia="Times New Roman" w:cs="Times New Roman"/>
          <w:sz w:val="24"/>
          <w:szCs w:val="24"/>
        </w:rPr>
        <w:t>Tata Steel Limited (2025). Annual Report and Accounts 2024–25. Mumbai: Tata Steel Limited.</w:t>
      </w:r>
    </w:p>
    <w:p>
      <w:pPr>
        <w:spacing w:before="60" w:after="60" w:line="360" w:lineRule="auto"/>
        <w:ind w:left="720" w:hanging="720"/>
        <w:jc w:val="both"/>
      </w:pPr>
      <w:r>
        <w:rPr>
          <w:rFonts w:ascii="Times New Roman" w:hAnsi="Times New Roman" w:eastAsia="Times New Roman" w:cs="Times New Roman"/>
          <w:sz w:val="24"/>
          <w:szCs w:val="24"/>
        </w:rPr>
        <w:t>Tesfatsion, L. (2006). Agent-Based Computational Economics: A Constructive Approach to Economic Theory. In: Tesfatsion, L. &amp; Judd, K.L. (Eds.), Handbook of Computational Economics, Vol. 2. Amsterdam: Elsevier.</w:t>
      </w:r>
    </w:p>
    <w:p>
      <w:pPr>
        <w:spacing w:before="60" w:after="60" w:line="360" w:lineRule="auto"/>
        <w:ind w:left="720" w:hanging="720"/>
        <w:jc w:val="both"/>
      </w:pPr>
      <w:r>
        <w:rPr>
          <w:rFonts w:ascii="Times New Roman" w:hAnsi="Times New Roman" w:eastAsia="Times New Roman" w:cs="Times New Roman"/>
          <w:sz w:val="24"/>
          <w:szCs w:val="24"/>
        </w:rPr>
        <w:t>Von Neumann, J. &amp; Morgenstern, O. (1944). Theory of Games and Economic Behavior. Princeton: Princeton University Press.</w:t>
      </w:r>
    </w:p>
    <w:p>
      <w:pPr>
        <w:spacing w:before="60" w:after="60" w:line="360" w:lineRule="auto"/>
        <w:ind w:left="720" w:hanging="720"/>
        <w:jc w:val="both"/>
      </w:pPr>
      <w:r>
        <w:rPr>
          <w:rFonts w:ascii="Times New Roman" w:hAnsi="Times New Roman" w:eastAsia="Times New Roman" w:cs="Times New Roman"/>
          <w:sz w:val="24"/>
          <w:szCs w:val="24"/>
        </w:rPr>
        <w:t>Wack, P. (1985). Scenarios: Uncharted Waters Ahead. Harvard Business Review, 63(5), 73–89.</w:t>
      </w:r>
    </w:p>
    <w:p>
      <w:pPr>
        <w:spacing w:before="60" w:after="60" w:line="360" w:lineRule="auto"/>
        <w:ind w:left="720" w:hanging="720"/>
        <w:jc w:val="both"/>
      </w:pPr>
      <w:r>
        <w:rPr>
          <w:rFonts w:ascii="Times New Roman" w:hAnsi="Times New Roman" w:eastAsia="Times New Roman" w:cs="Times New Roman"/>
          <w:sz w:val="24"/>
          <w:szCs w:val="24"/>
        </w:rPr>
        <w:t>Wei, J., Wang, X., Schuurmans, D., et al. (2022). Chain-of-Thought Prompting Elicits Reasoning in Large Language Models. Advances in Neural Information Processing Systems, 35.</w:t>
      </w:r>
    </w:p>
    <w:p>
      <w:pPr>
        <w:spacing w:before="60" w:after="60" w:line="360" w:lineRule="auto"/>
        <w:ind w:left="720" w:hanging="720"/>
        <w:jc w:val="both"/>
      </w:pPr>
      <w:r>
        <w:rPr>
          <w:rFonts w:ascii="Times New Roman" w:hAnsi="Times New Roman" w:eastAsia="Times New Roman" w:cs="Times New Roman"/>
          <w:sz w:val="24"/>
          <w:szCs w:val="24"/>
        </w:rPr>
        <w:t>Wernerfelt, B. (1984). A Resource-Based View of the Firm. Strategic Management Journal, 5(2), 171–180.</w:t>
      </w:r>
    </w:p>
    <w:p>
      <w:pPr>
        <w:spacing w:before="60" w:after="60" w:line="360" w:lineRule="auto"/>
        <w:ind w:left="720" w:hanging="720"/>
        <w:jc w:val="both"/>
      </w:pPr>
      <w:r>
        <w:rPr>
          <w:rFonts w:ascii="Times New Roman" w:hAnsi="Times New Roman" w:eastAsia="Times New Roman" w:cs="Times New Roman"/>
          <w:sz w:val="24"/>
          <w:szCs w:val="24"/>
        </w:rPr>
        <w:t>Williamson, O.E. (1975). Markets and Hierarchies: Analysis and Antitrust Implications. New York: Free Press.</w:t>
      </w:r>
    </w:p>
    <w:p>
      <w:pPr>
        <w:spacing w:before="60" w:after="60" w:line="360" w:lineRule="auto"/>
        <w:ind w:left="720" w:hanging="720"/>
        <w:jc w:val="both"/>
      </w:pPr>
      <w:r>
        <w:rPr>
          <w:rFonts w:ascii="Times New Roman" w:hAnsi="Times New Roman" w:eastAsia="Times New Roman" w:cs="Times New Roman"/>
          <w:sz w:val="24"/>
          <w:szCs w:val="24"/>
        </w:rPr>
        <w:t>Williamson, O.E. (1985). The Economic Institutions of Capitalism. New York: Free Press.</w:t>
      </w:r>
    </w:p>
    <w:p>
      <w:pPr>
        <w:spacing w:before="60" w:after="60" w:line="360" w:lineRule="auto"/>
        <w:ind w:left="720" w:hanging="720"/>
        <w:jc w:val="both"/>
      </w:pPr>
      <w:r>
        <w:rPr>
          <w:rFonts w:ascii="Times New Roman" w:hAnsi="Times New Roman" w:eastAsia="Times New Roman" w:cs="Times New Roman"/>
          <w:sz w:val="24"/>
          <w:szCs w:val="24"/>
        </w:rPr>
        <w:t>World Trade Organization (2023). Trade Policy Review: India. Geneva: WTO Secretariat.</w:t>
      </w:r>
    </w:p>
    <w:p>
      <w:pPr>
        <w:spacing w:before="60" w:after="60" w:line="360" w:lineRule="auto"/>
        <w:ind w:left="720" w:hanging="720"/>
        <w:jc w:val="both"/>
      </w:pPr>
      <w:r>
        <w:rPr>
          <w:rFonts w:ascii="Times New Roman" w:hAnsi="Times New Roman" w:eastAsia="Times New Roman" w:cs="Times New Roman"/>
          <w:sz w:val="24"/>
          <w:szCs w:val="24"/>
        </w:rPr>
        <w:t>Cyert, R.M. &amp; March, J.G. (1963). A Behavioral Theory of the Firm. Englewood Cliffs, NJ: Prentice-Hall.</w:t>
      </w:r>
    </w:p>
    <w:p>
      <w:pPr>
        <w:spacing w:before="60" w:after="60" w:line="360" w:lineRule="auto"/>
        <w:ind w:left="720" w:hanging="720"/>
        <w:jc w:val="both"/>
      </w:pPr>
      <w:r>
        <w:rPr>
          <w:rFonts w:ascii="Times New Roman" w:hAnsi="Times New Roman" w:eastAsia="Times New Roman" w:cs="Times New Roman"/>
          <w:sz w:val="24"/>
          <w:szCs w:val="24"/>
        </w:rPr>
        <w:t>DiMaggio, P.J. &amp; Powell, W.W. (1983). The Iron Cage Revisited: Institutional Isomorphism and Collective Rationality in Organisational Fields. American Sociological Review, 48(2), 147–160.</w:t>
      </w:r>
    </w:p>
    <w:p>
      <w:pPr>
        <w:spacing w:before="60" w:after="60" w:line="360" w:lineRule="auto"/>
        <w:ind w:left="720" w:hanging="720"/>
        <w:jc w:val="both"/>
      </w:pPr>
      <w:r>
        <w:rPr>
          <w:rFonts w:ascii="Times New Roman" w:hAnsi="Times New Roman" w:eastAsia="Times New Roman" w:cs="Times New Roman"/>
          <w:sz w:val="24"/>
          <w:szCs w:val="24"/>
        </w:rPr>
        <w:t>Scott, W.R. (2001). Institutions and Organizations. Thousand Oaks, CA: Sage Publications.</w:t>
      </w:r>
    </w:p>
    <w:p>
      <w:pPr>
        <w:spacing w:before="60" w:after="60" w:line="360" w:lineRule="auto"/>
        <w:ind w:left="720" w:hanging="720"/>
        <w:jc w:val="both"/>
      </w:pPr>
      <w:r>
        <w:rPr>
          <w:rFonts w:ascii="Times New Roman" w:hAnsi="Times New Roman" w:eastAsia="Times New Roman" w:cs="Times New Roman"/>
          <w:sz w:val="24"/>
          <w:szCs w:val="24"/>
        </w:rPr>
        <w:t>Teece, D.J., Pisano, G. &amp; Shuen, A. (1997). Dynamic Capabilities and Strategic Management. Strategic Management Journal, 18(7), 509–533.</w:t>
      </w:r>
    </w:p>
    <w:p>
      <w:pPr>
        <w:spacing w:before="60" w:after="60" w:line="360" w:lineRule="auto"/>
        <w:ind w:left="720" w:hanging="720"/>
        <w:jc w:val="both"/>
      </w:pPr>
      <w:r>
        <w:rPr>
          <w:rFonts w:ascii="Times New Roman" w:hAnsi="Times New Roman" w:eastAsia="Times New Roman" w:cs="Times New Roman"/>
          <w:sz w:val="24"/>
          <w:szCs w:val="24"/>
        </w:rPr>
        <w:t>Forrester, J.W. (1961). Industrial Dynamics. Cambridge, MA: MIT Press.</w:t>
      </w:r>
    </w:p>
    <w:p>
      <w:pPr>
        <w:spacing w:before="60" w:after="60" w:line="360" w:lineRule="auto"/>
        <w:ind w:left="720" w:hanging="720"/>
        <w:jc w:val="both"/>
      </w:pPr>
      <w:r>
        <w:rPr>
          <w:rFonts w:ascii="Times New Roman" w:hAnsi="Times New Roman" w:eastAsia="Times New Roman" w:cs="Times New Roman"/>
          <w:sz w:val="24"/>
          <w:szCs w:val="24"/>
        </w:rPr>
        <w:t>Coase, R.H. (1937). The Nature of the Firm. Economica, 4(16), 386–405.</w:t>
      </w:r>
    </w:p>
    <w:p>
      <w:pPr>
        <w:spacing w:before="60" w:after="60" w:line="360" w:lineRule="auto"/>
        <w:ind w:left="720" w:hanging="720"/>
        <w:jc w:val="both"/>
      </w:pPr>
      <w:r>
        <w:rPr>
          <w:rFonts w:ascii="Times New Roman" w:hAnsi="Times New Roman" w:eastAsia="Times New Roman" w:cs="Times New Roman"/>
          <w:sz w:val="24"/>
          <w:szCs w:val="24"/>
        </w:rPr>
        <w:t>Wu, Q., Bansal, G., Zhang, J., et al. (2023). AutoGen: Enabling Next-Gen LLM Applications via Multi-Agent Conversation. arXiv:2308.08155.</w:t>
      </w:r>
    </w:p>
    <w:p>
      <w:r>
        <w:br w:type="page"/>
      </w:r>
    </w:p>
    <w:p>
      <w:pPr>
        <w:pStyle w:val="2"/>
        <w:pageBreakBefore/>
        <w:spacing w:before="480" w:after="240"/>
        <w:jc w:val="center"/>
        <w:outlineLvl w:val="0"/>
      </w:pPr>
      <w:r>
        <w:rPr>
          <w:rFonts w:ascii="Times New Roman" w:hAnsi="Times New Roman" w:eastAsia="Times New Roman" w:cs="Times New Roman"/>
          <w:b/>
          <w:bCs/>
          <w:sz w:val="32"/>
          <w:szCs w:val="32"/>
        </w:rPr>
        <w:t>ANNEXURES</w:t>
      </w:r>
    </w:p>
    <w:p>
      <w:pPr>
        <w:pStyle w:val="3"/>
        <w:spacing w:before="300" w:after="160"/>
        <w:jc w:val="left"/>
        <w:outlineLvl w:val="1"/>
      </w:pPr>
      <w:r>
        <w:rPr>
          <w:rFonts w:ascii="Times New Roman" w:hAnsi="Times New Roman" w:eastAsia="Times New Roman" w:cs="Times New Roman"/>
          <w:b/>
          <w:bCs/>
          <w:sz w:val="28"/>
          <w:szCs w:val="28"/>
        </w:rPr>
        <w:t>Annexure A: IIT Patna Major Project Report Guidelines (Summary)</w:t>
      </w:r>
    </w:p>
    <w:p>
      <w:pPr>
        <w:spacing w:before="80" w:after="80" w:line="360" w:lineRule="auto"/>
        <w:jc w:val="both"/>
      </w:pPr>
      <w:r>
        <w:rPr>
          <w:rFonts w:ascii="Times New Roman" w:hAnsi="Times New Roman" w:eastAsia="Times New Roman" w:cs="Times New Roman"/>
          <w:sz w:val="24"/>
          <w:szCs w:val="24"/>
        </w:rPr>
        <w:t>As per the official Annexure A of IIT Patna MBA Major Project Guidelines:</w:t>
      </w:r>
    </w:p>
    <w:p>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3000"/>
        <w:gridCol w:w="6360"/>
      </w:tblGrid>
      <w:tr>
        <w:trPr>
          <w:tblHeader/>
        </w:trPr>
        <w:tc>
          <w:tcPr>
            <w:tcW w:w="3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Requirement</w:t>
            </w:r>
          </w:p>
        </w:tc>
        <w:tc>
          <w:tcPr>
            <w:tcW w:w="63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Specification</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Font</w:t>
            </w:r>
          </w:p>
        </w:tc>
        <w:tc>
          <w:tcPr>
            <w:tcW w:w="6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Times New Roman throughout</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Headings</w:t>
            </w:r>
          </w:p>
        </w:tc>
        <w:tc>
          <w:tcPr>
            <w:tcW w:w="6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16pt bold (Chapter), 14pt bold (Section), 12pt bold (Sub-section)</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Body Text</w:t>
            </w:r>
          </w:p>
        </w:tc>
        <w:tc>
          <w:tcPr>
            <w:tcW w:w="6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12pt, justified alignment</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Page Limit</w:t>
            </w:r>
          </w:p>
        </w:tc>
        <w:tc>
          <w:tcPr>
            <w:tcW w:w="6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60–75 pages</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Margins</w:t>
            </w:r>
          </w:p>
        </w:tc>
        <w:tc>
          <w:tcPr>
            <w:tcW w:w="6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Moderate (approximately 1 inch all sides)</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Mandatory Chapters</w:t>
            </w:r>
          </w:p>
        </w:tc>
        <w:tc>
          <w:tcPr>
            <w:tcW w:w="63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Introduction, Literature Review, Methodology, Data &amp; Results, Findings, Recommendations</w:t>
            </w:r>
          </w:p>
        </w:tc>
      </w:tr>
      <w:tr>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Submission</w:t>
            </w:r>
          </w:p>
        </w:tc>
        <w:tc>
          <w:tcPr>
            <w:tcW w:w="63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PDF upload on Moodle; End Session Presentation</w:t>
            </w:r>
          </w:p>
        </w:tc>
      </w:tr>
    </w:tbl>
    <w:p>
      <w:pPr>
        <w:pStyle w:val="3"/>
        <w:spacing w:before="300" w:after="160"/>
        <w:jc w:val="left"/>
        <w:outlineLvl w:val="1"/>
      </w:pPr>
      <w:r>
        <w:rPr>
          <w:rFonts w:ascii="Times New Roman" w:hAnsi="Times New Roman" w:eastAsia="Times New Roman" w:cs="Times New Roman"/>
          <w:b/>
          <w:bCs/>
          <w:sz w:val="28"/>
          <w:szCs w:val="28"/>
        </w:rPr>
        <w:t>Annexure B: Tata Steel Agent Profile (JSON)</w:t>
      </w:r>
    </w:p>
    <w:p>
      <w:pPr>
        <w:spacing w:before="80" w:after="80" w:line="360" w:lineRule="auto"/>
        <w:jc w:val="both"/>
      </w:pPr>
      <w:r>
        <w:rPr>
          <w:rFonts w:ascii="Times New Roman" w:hAnsi="Times New Roman" w:eastAsia="Times New Roman" w:cs="Times New Roman"/>
          <w:sz w:val="24"/>
          <w:szCs w:val="24"/>
        </w:rPr>
        <w:t>The following is the actual JSON profile used by the Tata Steel agent in the simulation:</w:t>
      </w:r>
    </w:p>
    <w:p>
      <w:pPr>
        <w:spacing w:before="60" w:after="60"/>
      </w:pPr>
    </w:p>
    <w:p>
      <w:pPr>
        <w:spacing w:before="80" w:after="80"/>
      </w:pPr>
      <w:r>
        <w:rPr>
          <w:rFonts w:ascii="Courier New" w:hAnsi="Courier New" w:eastAsia="Courier New" w:cs="Courier New"/>
          <w:sz w:val="20"/>
          <w:szCs w:val="20"/>
        </w:rPr>
        <w:t>{
  "name": "Tata Steel Limited",
  "role": "company",
  "agent_id": "tata_steel",
  "description": "India's largest integrated steel producer with global operations.",
  "objectives": [
    "Maintain global export diversification across 3+ markets",
    "Protect European operations during US tariff shock",
    "Preserve EBITDA margins above 15%",
    "Sustain 18%+ domestic market share in India"
  ],
  "constraints": [
    "Board approval required for capex exceeding $1 billion",
    "Debt servicing obligations limit cash deployment",
    "EU climate mandates on European operations"
  ],
  "data": {
    "revenue_usd_bn": 22.0,
    "ebitda_margin_pct": 18.0,
    "us_export_volume_mt": 2100000,
    "cash_reserves_usd_bn": 4.2,
    "debt_to_equity": 0.6
  }
}</w:t>
      </w:r>
    </w:p>
    <w:p>
      <w:pPr>
        <w:pStyle w:val="3"/>
        <w:spacing w:before="300" w:after="160"/>
        <w:jc w:val="left"/>
        <w:outlineLvl w:val="1"/>
      </w:pPr>
      <w:r>
        <w:rPr>
          <w:rFonts w:ascii="Times New Roman" w:hAnsi="Times New Roman" w:eastAsia="Times New Roman" w:cs="Times New Roman"/>
          <w:b/>
          <w:bCs/>
          <w:sz w:val="28"/>
          <w:szCs w:val="28"/>
        </w:rPr>
        <w:t>Annexure C: Shock Scenario — US Tariff (JSON)</w:t>
      </w:r>
    </w:p>
    <w:p>
      <w:pPr>
        <w:spacing w:before="60" w:after="60"/>
      </w:pPr>
    </w:p>
    <w:p>
      <w:pPr>
        <w:spacing w:before="80" w:after="80"/>
      </w:pPr>
      <w:r>
        <w:rPr>
          <w:rFonts w:ascii="Courier New" w:hAnsi="Courier New" w:eastAsia="Courier New" w:cs="Courier New"/>
          <w:sz w:val="20"/>
          <w:szCs w:val="20"/>
        </w:rPr>
        <w:t>{
  "id": "tariff_shock_us_india_2025",
  "name": "US 50% Tariff on Indian Steel",
  "category": "tariff",
  "severity": 0.85,
  "initial_parameters": {
    "tariff_rate_pct": 50,
    "target_country": "IN",
    "imposing_country": "US",
    "affected_trade_value_usd_bn": 1.8
  },
  "initial_market_impacts": {
    "steel_hrc": 0.72,
    "iron_ore": 0.95
  }
}</w:t>
      </w:r>
    </w:p>
    <w:p>
      <w:pPr>
        <w:pStyle w:val="3"/>
        <w:spacing w:before="300" w:after="160"/>
        <w:jc w:val="left"/>
        <w:outlineLvl w:val="1"/>
      </w:pPr>
      <w:r>
        <w:rPr>
          <w:rFonts w:ascii="Times New Roman" w:hAnsi="Times New Roman" w:eastAsia="Times New Roman" w:cs="Times New Roman"/>
          <w:b/>
          <w:bCs/>
          <w:sz w:val="28"/>
          <w:szCs w:val="28"/>
        </w:rPr>
        <w:t>Annexure D: Core Simulation Code Excerpts</w:t>
      </w:r>
    </w:p>
    <w:p>
      <w:pPr>
        <w:spacing w:before="80" w:after="80" w:line="360" w:lineRule="auto"/>
        <w:jc w:val="both"/>
      </w:pPr>
      <w:r>
        <w:rPr>
          <w:rFonts w:ascii="Times New Roman" w:hAnsi="Times New Roman" w:eastAsia="Times New Roman" w:cs="Times New Roman"/>
          <w:sz w:val="24"/>
          <w:szCs w:val="24"/>
        </w:rPr>
        <w:t>The following are key excerpts from the simulation engine:</w:t>
      </w:r>
    </w:p>
    <w:p>
      <w:pPr>
        <w:spacing w:before="60" w:after="60"/>
      </w:pPr>
    </w:p>
    <w:p>
      <w:pPr>
        <w:spacing w:before="80" w:after="80"/>
      </w:pPr>
      <w:r>
        <w:rPr>
          <w:rFonts w:ascii="Courier New" w:hAnsi="Courier New" w:eastAsia="Courier New" w:cs="Courier New"/>
          <w:sz w:val="20"/>
          <w:szCs w:val="20"/>
        </w:rPr>
        <w:t># agents/base.py — BaseAgent class
class BaseAgent:
    def __init__(self, profile: AgentProfile, model: str = "moonshotai/kimi-k2"):
        self.profile = profile
        self.model = model
        self.memory: list[RoundResponse] = []
        self.client = OpenAI(
            api_key=os.environ["OPENROUTER_API_KEY"],
            base_url="https://openrouter.ai/api/v1"
        )
    def decide(self, context: RoundContext) -&gt; RoundResponse:
        prompt = PromptBuilder.build(self.profile, context, self.memory)
        raw = self.client.chat.completions.create(
            model=self.model,
            messages=[{"role": "user", "content": prompt}]
        )
        response = ResponseParser.parse(raw.choices[0].message.content)
        self.memory.append(response)
        return response
# simulation/engine.py — Core round loop
class SimulationEngine:
    def run(self, rounds: int = 3) -&gt; SimulationResult:
        for round_num in range(1, rounds + 1):
            contexts = self._build_contexts(round_num)
            responses = self._execute_agents(contexts)  # parallel
            resolution = self.resolver.resolve(self.world_state, responses)
            self._apply_updates(resolution)
        return SimulationResult(self.world_state, self.all_responses)</w:t>
      </w:r>
    </w:p>
    <w:p>
      <w:pPr>
        <w:pStyle w:val="3"/>
        <w:spacing w:before="300" w:after="160"/>
        <w:jc w:val="left"/>
        <w:outlineLvl w:val="1"/>
      </w:pPr>
      <w:r>
        <w:rPr>
          <w:rFonts w:ascii="Times New Roman" w:hAnsi="Times New Roman" w:eastAsia="Times New Roman" w:cs="Times New Roman"/>
          <w:b/>
          <w:bCs/>
          <w:sz w:val="28"/>
          <w:szCs w:val="28"/>
        </w:rPr>
        <w:t>Annexure E: Simulation Final State Summary</w:t>
      </w:r>
    </w:p>
    <w:p>
      <w:pPr>
        <w:spacing w:before="120" w:after="80"/>
        <w:jc w:val="center"/>
      </w:pPr>
      <w:r>
        <w:rPr>
          <w:rFonts w:ascii="Times New Roman" w:hAnsi="Times New Roman" w:eastAsia="Times New Roman" w:cs="Times New Roman"/>
          <w:b/>
          <w:bCs/>
          <w:i/>
          <w:iCs/>
          <w:sz w:val="24"/>
          <w:szCs w:val="24"/>
        </w:rPr>
        <w:t>Table E.1: Agent Final Actions — Round 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2800"/>
        <w:gridCol w:w="3000"/>
        <w:gridCol w:w="1600"/>
        <w:gridCol w:w="1960"/>
      </w:tblGrid>
      <w:tr>
        <w:trPr>
          <w:tblHeader/>
        </w:trPr>
        <w:tc>
          <w:tcPr>
            <w:tcW w:w="28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Agent</w:t>
            </w:r>
          </w:p>
        </w:tc>
        <w:tc>
          <w:tcPr>
            <w:tcW w:w="30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Final Action</w:t>
            </w:r>
          </w:p>
        </w:tc>
        <w:tc>
          <w:tcPr>
            <w:tcW w:w="160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Confidence</w:t>
            </w:r>
          </w:p>
        </w:tc>
        <w:tc>
          <w:tcPr>
            <w:tcW w:w="1960" w:type="dxa"/>
            <w:tcBorders>
              <w:top w:val="single" w:color="AAAAAA" w:sz="4" w:space="0"/>
              <w:left w:val="single" w:color="AAAAAA" w:sz="4" w:space="0"/>
              <w:bottom w:val="single" w:color="AAAAAA" w:sz="4" w:space="0"/>
              <w:right w:val="single" w:color="AAAAAA" w:sz="4" w:space="0"/>
            </w:tcBorders>
            <w:shd w:val="clear" w:color="auto" w:fill="D5E8F0"/>
            <w:tcMar>
              <w:top w:w="80" w:type="dxa"/>
              <w:left w:w="100" w:type="dxa"/>
              <w:bottom w:w="80" w:type="dxa"/>
              <w:right w:w="100" w:type="dxa"/>
            </w:tcMar>
          </w:tcPr>
          <w:p>
            <w:pPr>
              <w:jc w:val="center"/>
            </w:pPr>
            <w:r>
              <w:rPr>
                <w:rFonts w:ascii="Times New Roman" w:hAnsi="Times New Roman" w:eastAsia="Times New Roman" w:cs="Times New Roman"/>
                <w:b/>
                <w:bCs/>
                <w:sz w:val="24"/>
                <w:szCs w:val="24"/>
              </w:rPr>
              <w:t>Financial Health</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Tata Steel</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export_diversion</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0.87</w:t>
            </w:r>
          </w:p>
        </w:tc>
        <w:tc>
          <w:tcPr>
            <w:tcW w:w="1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0.82</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Govt of India</w:t>
            </w:r>
          </w:p>
        </w:tc>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wto_dispute</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0.79</w:t>
            </w:r>
          </w:p>
        </w:tc>
        <w:tc>
          <w:tcPr>
            <w:tcW w:w="19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0.75</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Industrial Consumer</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demand_subsidy</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0.68</w:t>
            </w:r>
          </w:p>
        </w:tc>
        <w:tc>
          <w:tcPr>
            <w:tcW w:w="1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0.68</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Iron Ore Suppliers</w:t>
            </w:r>
          </w:p>
        </w:tc>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negotiate_long_term</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0.77</w:t>
            </w:r>
          </w:p>
        </w:tc>
        <w:tc>
          <w:tcPr>
            <w:tcW w:w="19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0.78</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DGTR</w:t>
            </w:r>
          </w:p>
        </w:tc>
        <w:tc>
          <w:tcPr>
            <w:tcW w:w="30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impose_provisional_duty</w:t>
            </w:r>
          </w:p>
        </w:tc>
        <w:tc>
          <w:tcPr>
            <w:tcW w:w="160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0.80</w:t>
            </w:r>
          </w:p>
        </w:tc>
        <w:tc>
          <w:tcPr>
            <w:tcW w:w="196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00" w:type="dxa"/>
              <w:bottom w:w="80" w:type="dxa"/>
              <w:right w:w="100" w:type="dxa"/>
            </w:tcMar>
          </w:tcPr>
          <w:p>
            <w:pPr>
              <w:jc w:val="both"/>
            </w:pPr>
            <w:r>
              <w:rPr>
                <w:rFonts w:ascii="Times New Roman" w:hAnsi="Times New Roman" w:eastAsia="Times New Roman" w:cs="Times New Roman"/>
                <w:sz w:val="24"/>
                <w:szCs w:val="24"/>
              </w:rPr>
              <w:t>0.70</w:t>
            </w:r>
          </w:p>
        </w:tc>
      </w:tr>
      <w:tr>
        <w:tc>
          <w:tcPr>
            <w:tcW w:w="28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FII Aggregate</w:t>
            </w:r>
          </w:p>
        </w:tc>
        <w:tc>
          <w:tcPr>
            <w:tcW w:w="30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sell</w:t>
            </w:r>
          </w:p>
        </w:tc>
        <w:tc>
          <w:tcPr>
            <w:tcW w:w="160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0.85</w:t>
            </w:r>
          </w:p>
        </w:tc>
        <w:tc>
          <w:tcPr>
            <w:tcW w:w="1960" w:type="dxa"/>
            <w:tcBorders>
              <w:top w:val="single" w:color="AAAAAA" w:sz="4" w:space="0"/>
              <w:left w:val="single" w:color="AAAAAA" w:sz="4" w:space="0"/>
              <w:bottom w:val="single" w:color="AAAAAA" w:sz="4" w:space="0"/>
              <w:right w:val="single" w:color="AAAAAA" w:sz="4" w:space="0"/>
            </w:tcBorders>
            <w:shd w:val="clear" w:color="auto" w:fill="F7F7F7"/>
            <w:tcMar>
              <w:top w:w="80" w:type="dxa"/>
              <w:left w:w="100" w:type="dxa"/>
              <w:bottom w:w="80" w:type="dxa"/>
              <w:right w:w="100" w:type="dxa"/>
            </w:tcMar>
          </w:tcPr>
          <w:p>
            <w:pPr>
              <w:jc w:val="both"/>
            </w:pPr>
            <w:r>
              <w:rPr>
                <w:rFonts w:ascii="Times New Roman" w:hAnsi="Times New Roman" w:eastAsia="Times New Roman" w:cs="Times New Roman"/>
                <w:sz w:val="24"/>
                <w:szCs w:val="24"/>
              </w:rPr>
              <w:t>0.88</w:t>
            </w:r>
          </w:p>
        </w:tc>
      </w:tr>
    </w:tbl>
    <w:p/>
    <w:sectPr>
      <w:headerReference r:id="rId3" w:type="default"/>
      <w:footerReference r:id="rId4" w:type="default"/>
      <w:pgSz w:w="12240" w:h="16840"/>
      <w:pgMar w:top="1440" w:right="1080" w:bottom="1440" w:left="1080" w:header="708" w:footer="708" w:gutter="0"/>
      <w:pgBorders w:display="notFirstPage">
        <w:top w:val="single" w:color="auto" w:sz="8" w:space="10"/>
        <w:left w:val="single" w:color="auto" w:sz="8" w:space="24"/>
        <w:bottom w:val="single" w:color="auto" w:sz="8" w:space="10"/>
        <w:right w:val="single" w:color="auto" w:sz="8"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Hiragino Sans GB">
    <w:panose1 w:val="020B03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AAAAA" w:sz="4" w:space="0"/>
      </w:pBdr>
      <w:jc w:val="center"/>
    </w:pPr>
    <w:r>
      <w:rPr>
        <w:rFonts w:ascii="Times New Roman" w:hAnsi="Times New Roman" w:eastAsia="Times New Roman" w:cs="Times New Roman"/>
        <w:sz w:val="18"/>
        <w:szCs w:val="18"/>
      </w:rPr>
      <w:t xml:space="preserve">Ankita Priya | 24A01RES30 |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AAAAA" w:sz="4" w:space="0"/>
      </w:pBdr>
      <w:jc w:val="right"/>
    </w:pPr>
    <w:r>
      <w:rPr>
        <w:rFonts w:ascii="Times New Roman" w:hAnsi="Times New Roman" w:eastAsia="Times New Roman" w:cs="Times New Roman"/>
        <w:i/>
        <w:iCs/>
        <w:sz w:val="18"/>
        <w:szCs w:val="18"/>
      </w:rPr>
      <w:t>MBA Major Project Report — IIT Patna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CDF274"/>
    <w:multiLevelType w:val="singleLevel"/>
    <w:tmpl w:val="BBCDF274"/>
    <w:lvl w:ilvl="0" w:tentative="0">
      <w:start w:val="1"/>
      <w:numFmt w:val="decimal"/>
      <w:lvlText w:val="%1."/>
      <w:lvlJc w:val="left"/>
      <w:pPr>
        <w:ind w:left="720" w:hanging="360"/>
      </w:pPr>
    </w:lvl>
  </w:abstractNum>
  <w:abstractNum w:abstractNumId="1">
    <w:nsid w:val="FF9B18C8"/>
    <w:multiLevelType w:val="singleLevel"/>
    <w:tmpl w:val="FF9B18C8"/>
    <w:lvl w:ilvl="0" w:tentative="0">
      <w:start w:val="1"/>
      <w:numFmt w:val="bullet"/>
      <w:lvlText w:val="•"/>
      <w:lvlJc w:val="left"/>
      <w:pPr>
        <w:ind w:left="720" w:hanging="360"/>
      </w:pPr>
    </w:lvl>
  </w:abstractNum>
  <w:abstractNum w:abstractNumId="2">
    <w:nsid w:val="7CFB1270"/>
    <w:multiLevelType w:val="multilevel"/>
    <w:tmpl w:val="7CFB1270"/>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isplayBackgroundShape w:val="1"/>
  <w:bordersDoNotSurroundHeader w:val="1"/>
  <w:bordersDoNotSurroundFooter w:val="1"/>
  <w:documentProtection w:enforcement="0"/>
  <w:compat>
    <w:compatSetting w:name="compatibilityMode" w:uri="http://schemas.microsoft.com/office/word" w:val="15"/>
  </w:compat>
  <w:rsids>
    <w:rsidRoot w:val="00000000"/>
    <w:rsid w:val="197F3877"/>
    <w:rsid w:val="3FBFD3C8"/>
    <w:rsid w:val="42363E7C"/>
    <w:rsid w:val="6777486E"/>
    <w:rsid w:val="7FBF2CB1"/>
    <w:rsid w:val="7FE7DF8E"/>
    <w:rsid w:val="C7F114AA"/>
    <w:rsid w:val="DEDFAA2D"/>
    <w:rsid w:val="DFB146B0"/>
    <w:rsid w:val="FFFB90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00" w:after="16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00" w:after="12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31</TotalTime>
  <ScaleCrop>false</ScaleCrop>
  <LinksUpToDate>false</LinksUpToDate>
  <Application>WPS Office_5.5.1.8075_F1E327BC-269C-435d-A152-05C5408002CA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Nitin Ashok</cp:lastModifiedBy>
  <dcterms:modified xsi:type="dcterms:W3CDTF">2026-04-30T16:31:45Z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1033-5.5.1.8075</vt:lpwstr>
  </property>
</Properties>
</file>