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27F4" w:rsidRPr="006127F4" w:rsidRDefault="006127F4" w:rsidP="006127F4">
      <w:pPr>
        <w:shd w:val="clear" w:color="auto" w:fill="FFFFFF"/>
        <w:spacing w:after="180" w:line="420" w:lineRule="atLeast"/>
        <w:outlineLvl w:val="0"/>
        <w:rPr>
          <w:rFonts w:ascii="Times" w:eastAsia="Times New Roman" w:hAnsi="Times" w:cs="Arial"/>
          <w:b/>
          <w:bCs/>
          <w:color w:val="000000"/>
          <w:kern w:val="36"/>
        </w:rPr>
      </w:pPr>
      <w:r w:rsidRPr="006127F4">
        <w:rPr>
          <w:rFonts w:ascii="Times" w:eastAsia="Times New Roman" w:hAnsi="Times" w:cs="Arial"/>
          <w:b/>
          <w:bCs/>
          <w:color w:val="000000"/>
          <w:kern w:val="36"/>
        </w:rPr>
        <w:t>Serine Integrases: Advancing Synthetic Biology</w:t>
      </w:r>
    </w:p>
    <w:p w:rsidR="005E5558" w:rsidRDefault="006127F4">
      <w:hyperlink r:id="rId5" w:history="1">
        <w:r w:rsidRPr="008B19DA">
          <w:rPr>
            <w:rStyle w:val="Hyperlink"/>
          </w:rPr>
          <w:t>https://pubs.acs.org/doi/10.1021/acssynbio.7b00308</w:t>
        </w:r>
      </w:hyperlink>
    </w:p>
    <w:p w:rsidR="006127F4" w:rsidRDefault="006127F4">
      <w:hyperlink r:id="rId6" w:history="1">
        <w:r w:rsidRPr="008B19DA">
          <w:rPr>
            <w:rStyle w:val="Hyperlink"/>
          </w:rPr>
          <w:t>https://pubs.acs.org/doi/pdf/10.1021/acssynbio.7b00308</w:t>
        </w:r>
      </w:hyperlink>
    </w:p>
    <w:p w:rsidR="006127F4" w:rsidRDefault="006127F4"/>
    <w:p w:rsidR="006127F4" w:rsidRDefault="006127F4" w:rsidP="006127F4">
      <w:pPr>
        <w:pStyle w:val="ListParagraph"/>
        <w:numPr>
          <w:ilvl w:val="0"/>
          <w:numId w:val="1"/>
        </w:numPr>
      </w:pPr>
      <w:r>
        <w:t>Can have site specific recombination</w:t>
      </w:r>
    </w:p>
    <w:p w:rsidR="006127F4" w:rsidRDefault="006127F4" w:rsidP="006127F4">
      <w:pPr>
        <w:pStyle w:val="ListParagraph"/>
        <w:numPr>
          <w:ilvl w:val="1"/>
          <w:numId w:val="1"/>
        </w:numPr>
      </w:pPr>
      <w:r>
        <w:t>This switches orientation of sequences, doesn’t make it bigger</w:t>
      </w:r>
    </w:p>
    <w:p w:rsidR="006127F4" w:rsidRDefault="006127F4" w:rsidP="006127F4">
      <w:pPr>
        <w:pStyle w:val="ListParagraph"/>
        <w:numPr>
          <w:ilvl w:val="0"/>
          <w:numId w:val="1"/>
        </w:numPr>
      </w:pPr>
      <w:proofErr w:type="spellStart"/>
      <w:r>
        <w:t>Dna</w:t>
      </w:r>
      <w:proofErr w:type="spellEnd"/>
      <w:r>
        <w:t xml:space="preserve"> assembly by site specific recombination</w:t>
      </w:r>
    </w:p>
    <w:p w:rsidR="006127F4" w:rsidRDefault="006127F4" w:rsidP="006127F4">
      <w:pPr>
        <w:pStyle w:val="ListParagraph"/>
        <w:numPr>
          <w:ilvl w:val="1"/>
          <w:numId w:val="1"/>
        </w:numPr>
      </w:pPr>
      <w:r>
        <w:t xml:space="preserve">Construction of genome of first synthetic organism, metabolic engineering of microbes for production of high-value compounds, establishment of DNA registries for the distribution of reusable DNA </w:t>
      </w:r>
      <w:proofErr w:type="spellStart"/>
      <w:r>
        <w:t>parts,and</w:t>
      </w:r>
      <w:proofErr w:type="spellEnd"/>
      <w:r>
        <w:t xml:space="preserve"> cloning of repetitive DNA sequences</w:t>
      </w:r>
    </w:p>
    <w:p w:rsidR="006127F4" w:rsidRDefault="006127F4" w:rsidP="006127F4">
      <w:pPr>
        <w:pStyle w:val="ListParagraph"/>
        <w:numPr>
          <w:ilvl w:val="1"/>
          <w:numId w:val="1"/>
        </w:numPr>
      </w:pPr>
      <w:r>
        <w:t>DNA assembly methods</w:t>
      </w:r>
    </w:p>
    <w:p w:rsidR="006127F4" w:rsidRPr="006127F4" w:rsidRDefault="006127F4" w:rsidP="006127F4">
      <w:pPr>
        <w:pStyle w:val="ListParagraph"/>
        <w:numPr>
          <w:ilvl w:val="2"/>
          <w:numId w:val="1"/>
        </w:numPr>
        <w:rPr>
          <w:rFonts w:eastAsia="Times New Roman" w:cs="Times New Roman"/>
        </w:rPr>
      </w:pPr>
      <w:r w:rsidRPr="006127F4">
        <w:rPr>
          <w:rFonts w:eastAsia="Times New Roman" w:cs="Times New Roman"/>
          <w:b/>
          <w:bCs/>
        </w:rPr>
        <w:t>endonuclease-mediated assembly</w:t>
      </w:r>
      <w:r w:rsidRPr="006127F4">
        <w:rPr>
          <w:rFonts w:eastAsia="Times New Roman" w:cs="Times New Roman"/>
        </w:rPr>
        <w:t xml:space="preserve"> methods including </w:t>
      </w:r>
      <w:proofErr w:type="spellStart"/>
      <w:r w:rsidRPr="006127F4">
        <w:rPr>
          <w:rFonts w:eastAsia="Times New Roman" w:cs="Times New Roman"/>
        </w:rPr>
        <w:t>BioBrickbased</w:t>
      </w:r>
      <w:proofErr w:type="spellEnd"/>
      <w:r w:rsidRPr="006127F4">
        <w:rPr>
          <w:rFonts w:eastAsia="Times New Roman" w:cs="Times New Roman"/>
        </w:rPr>
        <w:t xml:space="preserve"> methods,70,75,76 and Golden Gate-based Assembly;77−79 </w:t>
      </w:r>
      <w:r w:rsidRPr="006127F4">
        <w:rPr>
          <w:rFonts w:eastAsia="Times New Roman" w:cs="Times New Roman"/>
          <w:b/>
          <w:bCs/>
        </w:rPr>
        <w:t xml:space="preserve">homology-based methods </w:t>
      </w:r>
      <w:r w:rsidRPr="006127F4">
        <w:rPr>
          <w:rFonts w:eastAsia="Times New Roman" w:cs="Times New Roman"/>
        </w:rPr>
        <w:t xml:space="preserve">including sequence and ligation independent cloning (SLIC),80 Gibson Assembly,81 DNA Assembler in yeast,82 and </w:t>
      </w:r>
      <w:r w:rsidRPr="006127F4">
        <w:rPr>
          <w:rFonts w:eastAsia="Times New Roman" w:cs="Times New Roman"/>
          <w:b/>
          <w:bCs/>
        </w:rPr>
        <w:t>PCR-based methods</w:t>
      </w:r>
      <w:r w:rsidRPr="006127F4">
        <w:rPr>
          <w:rFonts w:eastAsia="Times New Roman" w:cs="Times New Roman"/>
        </w:rPr>
        <w:t xml:space="preserve"> like circular polymerase extension cloning (CPEC)83 and PaperClip;84 and site-specific recombination-based methods including Gateway,85−87 site-specific recombination-based tandem assembly (SSTRA)88 and serine integrase recombinational assembly (SIRA).20</w:t>
      </w:r>
    </w:p>
    <w:p w:rsidR="006127F4" w:rsidRDefault="006127F4" w:rsidP="006127F4">
      <w:pPr>
        <w:pStyle w:val="ListParagraph"/>
        <w:numPr>
          <w:ilvl w:val="1"/>
          <w:numId w:val="1"/>
        </w:numPr>
      </w:pPr>
      <w:r>
        <w:t xml:space="preserve">LIMITATIONS: </w:t>
      </w:r>
    </w:p>
    <w:p w:rsidR="006127F4" w:rsidRDefault="006127F4" w:rsidP="006127F4">
      <w:pPr>
        <w:pStyle w:val="ListParagraph"/>
        <w:numPr>
          <w:ilvl w:val="2"/>
          <w:numId w:val="1"/>
        </w:numPr>
      </w:pPr>
      <w:r>
        <w:t xml:space="preserve">Endonuclease based methods – must remove incompatible restriction sites from </w:t>
      </w:r>
      <w:proofErr w:type="spellStart"/>
      <w:r>
        <w:t xml:space="preserve">DNA parts </w:t>
      </w:r>
      <w:proofErr w:type="spellEnd"/>
      <w:r>
        <w:t xml:space="preserve">prior to assembly – DNA parts have to be synthesized, </w:t>
      </w:r>
      <w:proofErr w:type="spellStart"/>
      <w:r>
        <w:t>precloned</w:t>
      </w:r>
      <w:proofErr w:type="spellEnd"/>
      <w:r>
        <w:t xml:space="preserve"> and mutated</w:t>
      </w:r>
    </w:p>
    <w:p w:rsidR="006127F4" w:rsidRDefault="006127F4" w:rsidP="006127F4">
      <w:pPr>
        <w:pStyle w:val="ListParagraph"/>
        <w:numPr>
          <w:ilvl w:val="2"/>
          <w:numId w:val="1"/>
        </w:numPr>
      </w:pPr>
      <w:r>
        <w:rPr>
          <w:i/>
          <w:iCs/>
        </w:rPr>
        <w:t>in vitro</w:t>
      </w:r>
      <w:r>
        <w:t xml:space="preserve"> homology-based methods are associated with size of DNA parts</w:t>
      </w:r>
    </w:p>
    <w:p w:rsidR="006127F4" w:rsidRDefault="006127F4" w:rsidP="006127F4">
      <w:pPr>
        <w:pStyle w:val="ListParagraph"/>
        <w:numPr>
          <w:ilvl w:val="3"/>
          <w:numId w:val="1"/>
        </w:numPr>
      </w:pPr>
      <w:r>
        <w:t>SLIC and Gibson use exonuclease activity to generate ss complementary overhangs on DNA. – can degrade small DNA parts</w:t>
      </w:r>
    </w:p>
    <w:p w:rsidR="006127F4" w:rsidRDefault="006127F4" w:rsidP="006127F4">
      <w:pPr>
        <w:pStyle w:val="ListParagraph"/>
        <w:numPr>
          <w:ilvl w:val="2"/>
          <w:numId w:val="1"/>
        </w:numPr>
      </w:pPr>
      <w:r>
        <w:t xml:space="preserve">PCR based methods – limited to DNA parts short enough to be amplified in vitro with DNA polymerase, mutations can occur. Once assembled, not easy to exchange </w:t>
      </w:r>
      <w:proofErr w:type="spellStart"/>
      <w:r>
        <w:t>dna</w:t>
      </w:r>
      <w:proofErr w:type="spellEnd"/>
      <w:r>
        <w:t xml:space="preserve"> sections</w:t>
      </w:r>
    </w:p>
    <w:p w:rsidR="006127F4" w:rsidRDefault="006127F4" w:rsidP="006127F4">
      <w:pPr>
        <w:pStyle w:val="ListParagraph"/>
        <w:numPr>
          <w:ilvl w:val="0"/>
          <w:numId w:val="1"/>
        </w:numPr>
      </w:pPr>
      <w:r>
        <w:t>Can have gateway assembly up to 5 DNA parts in single reaction</w:t>
      </w:r>
    </w:p>
    <w:p w:rsidR="006127F4" w:rsidRDefault="006127F4" w:rsidP="006127F4">
      <w:pPr>
        <w:pStyle w:val="ListParagraph"/>
        <w:numPr>
          <w:ilvl w:val="1"/>
          <w:numId w:val="1"/>
        </w:numPr>
      </w:pPr>
      <w:proofErr w:type="spellStart"/>
      <w:r>
        <w:t>Precloning</w:t>
      </w:r>
      <w:proofErr w:type="spellEnd"/>
      <w:r>
        <w:t xml:space="preserve"> into donor and entry vectors is time-consuming, </w:t>
      </w:r>
      <w:proofErr w:type="spellStart"/>
      <w:r>
        <w:rPr>
          <w:i/>
          <w:iCs/>
        </w:rPr>
        <w:t>att</w:t>
      </w:r>
      <w:proofErr w:type="spellEnd"/>
      <w:r>
        <w:t xml:space="preserve"> sites are large – 200 pb(</w:t>
      </w:r>
      <w:proofErr w:type="spellStart"/>
      <w:r>
        <w:t>attr</w:t>
      </w:r>
      <w:proofErr w:type="spellEnd"/>
      <w:r>
        <w:t>)</w:t>
      </w:r>
    </w:p>
    <w:p w:rsidR="006127F4" w:rsidRDefault="006127F4" w:rsidP="006127F4">
      <w:pPr>
        <w:pStyle w:val="ListParagraph"/>
        <w:numPr>
          <w:ilvl w:val="0"/>
          <w:numId w:val="1"/>
        </w:numPr>
      </w:pPr>
      <w:r>
        <w:t xml:space="preserve">Serine integrases – </w:t>
      </w:r>
      <w:proofErr w:type="spellStart"/>
      <w:r>
        <w:rPr>
          <w:i/>
          <w:iCs/>
        </w:rPr>
        <w:t>att</w:t>
      </w:r>
      <w:proofErr w:type="spellEnd"/>
      <w:r>
        <w:t xml:space="preserve"> sites are small (&lt;50 bp) – require no accessory proteins to bind or bend them for recombination</w:t>
      </w:r>
    </w:p>
    <w:p w:rsidR="006127F4" w:rsidRDefault="006127F4" w:rsidP="006127F4">
      <w:pPr>
        <w:pStyle w:val="ListParagraph"/>
        <w:numPr>
          <w:ilvl w:val="0"/>
          <w:numId w:val="1"/>
        </w:numPr>
      </w:pPr>
      <w:r>
        <w:t xml:space="preserve">Can recombine serine integrase </w:t>
      </w:r>
      <w:proofErr w:type="spellStart"/>
      <w:r>
        <w:rPr>
          <w:i/>
          <w:iCs/>
        </w:rPr>
        <w:t>att</w:t>
      </w:r>
      <w:proofErr w:type="spellEnd"/>
      <w:r>
        <w:rPr>
          <w:i/>
          <w:iCs/>
        </w:rPr>
        <w:t xml:space="preserve"> </w:t>
      </w:r>
      <w:r>
        <w:t xml:space="preserve"> sites on linear pieces of DNA, eliminating need to </w:t>
      </w:r>
      <w:proofErr w:type="spellStart"/>
      <w:r>
        <w:t>preclone</w:t>
      </w:r>
      <w:proofErr w:type="spellEnd"/>
      <w:r>
        <w:t xml:space="preserve"> DNA parts into entry vectors</w:t>
      </w:r>
    </w:p>
    <w:p w:rsidR="006127F4" w:rsidRDefault="006127F4" w:rsidP="006127F4">
      <w:pPr>
        <w:pStyle w:val="ListParagraph"/>
        <w:numPr>
          <w:ilvl w:val="0"/>
          <w:numId w:val="1"/>
        </w:numPr>
      </w:pPr>
      <w:r>
        <w:rPr>
          <w:b/>
          <w:bCs/>
        </w:rPr>
        <w:t>Logic and Memory</w:t>
      </w:r>
    </w:p>
    <w:p w:rsidR="006127F4" w:rsidRPr="00116061" w:rsidRDefault="00116061" w:rsidP="006127F4">
      <w:pPr>
        <w:pStyle w:val="ListParagraph"/>
        <w:numPr>
          <w:ilvl w:val="0"/>
          <w:numId w:val="1"/>
        </w:numPr>
      </w:pPr>
      <w:r>
        <w:t xml:space="preserve">Drawback: in order to </w:t>
      </w:r>
      <w:proofErr w:type="spellStart"/>
      <w:r>
        <w:t>main</w:t>
      </w:r>
      <w:proofErr w:type="spellEnd"/>
      <w:r>
        <w:t xml:space="preserve"> a ss, systems rely on levels of </w:t>
      </w:r>
      <w:proofErr w:type="spellStart"/>
      <w:r>
        <w:t>tx</w:t>
      </w:r>
      <w:proofErr w:type="spellEnd"/>
      <w:r>
        <w:t xml:space="preserve"> that could impose considerable resource burden on host cell by redirecting nucleic acids, amino acids, and other metabolites away from native cellular processes</w:t>
      </w:r>
      <w:r>
        <w:rPr>
          <w:color w:val="FF0000"/>
        </w:rPr>
        <w:t xml:space="preserve"> can be solved by using syn cells (minimal resource burden)</w:t>
      </w:r>
    </w:p>
    <w:p w:rsidR="00116061" w:rsidRPr="00116061" w:rsidRDefault="00116061" w:rsidP="006127F4">
      <w:pPr>
        <w:pStyle w:val="ListParagraph"/>
        <w:numPr>
          <w:ilvl w:val="0"/>
          <w:numId w:val="1"/>
        </w:numPr>
      </w:pPr>
      <w:r>
        <w:t xml:space="preserve">Intrinsic issue of logic and memory </w:t>
      </w:r>
      <w:proofErr w:type="spellStart"/>
      <w:r>
        <w:t>devics</w:t>
      </w:r>
      <w:proofErr w:type="spellEnd"/>
      <w:r>
        <w:t xml:space="preserve"> that rely on switching of states is noise generated by heterogeneity in biological populations </w:t>
      </w:r>
      <w:r>
        <w:rPr>
          <w:color w:val="FF0000"/>
        </w:rPr>
        <w:t>a lot less noise in syn cells</w:t>
      </w:r>
    </w:p>
    <w:p w:rsidR="00116061" w:rsidRDefault="00116061" w:rsidP="006127F4">
      <w:pPr>
        <w:pStyle w:val="ListParagraph"/>
        <w:numPr>
          <w:ilvl w:val="0"/>
          <w:numId w:val="1"/>
        </w:numPr>
      </w:pPr>
      <w:r>
        <w:rPr>
          <w:color w:val="FF0000"/>
        </w:rPr>
        <w:lastRenderedPageBreak/>
        <w:t xml:space="preserve">Maybe can you have a syn cell within a population of bio cells recording environmental things around it, </w:t>
      </w:r>
      <w:proofErr w:type="spellStart"/>
      <w:r>
        <w:rPr>
          <w:color w:val="FF0000"/>
        </w:rPr>
        <w:t>bc</w:t>
      </w:r>
      <w:proofErr w:type="spellEnd"/>
      <w:r>
        <w:rPr>
          <w:color w:val="FF0000"/>
        </w:rPr>
        <w:t xml:space="preserve"> more clear data collection, less noise </w:t>
      </w:r>
      <w:proofErr w:type="spellStart"/>
      <w:r>
        <w:rPr>
          <w:color w:val="FF0000"/>
        </w:rPr>
        <w:t>etc</w:t>
      </w:r>
      <w:proofErr w:type="spellEnd"/>
    </w:p>
    <w:p w:rsidR="00116061" w:rsidRPr="00116061" w:rsidRDefault="00116061" w:rsidP="00116061">
      <w:pPr>
        <w:pStyle w:val="ListParagraph"/>
        <w:numPr>
          <w:ilvl w:val="0"/>
          <w:numId w:val="1"/>
        </w:numPr>
        <w:rPr>
          <w:rFonts w:eastAsia="Times New Roman" w:cs="Times New Roman"/>
        </w:rPr>
      </w:pPr>
      <w:r w:rsidRPr="00116061">
        <w:rPr>
          <w:rFonts w:eastAsia="Times New Roman" w:cs="Times New Roman"/>
        </w:rPr>
        <w:t xml:space="preserve">Accumulating mutations form record of analog data, outputted as some reporter signal - </w:t>
      </w:r>
      <w:r w:rsidRPr="00116061">
        <w:rPr>
          <w:rFonts w:eastAsia="Times New Roman" w:cs="Times New Roman"/>
        </w:rPr>
        <w:t>Limitations of these approaches are associated with in situ sequencing for analysis of a mixed population of cells and the restricted diversity that can be generated in the guide RNAs. Some mutations in these systems occur with a higher frequency than others,108 and NHEJ can repair DNA cleavage without introducing mutations at all. It is also not known if Cas9 would have any off-target activity, or if integrated arrays of nuclease targets would affect genome stability.</w:t>
      </w:r>
    </w:p>
    <w:p w:rsidR="00116061" w:rsidRPr="00116061" w:rsidRDefault="00116061" w:rsidP="00116061">
      <w:pPr>
        <w:pStyle w:val="ListParagraph"/>
        <w:numPr>
          <w:ilvl w:val="0"/>
          <w:numId w:val="1"/>
        </w:numPr>
        <w:rPr>
          <w:rFonts w:eastAsia="Times New Roman" w:cs="Times New Roman"/>
        </w:rPr>
      </w:pPr>
      <w:r w:rsidRPr="00116061">
        <w:rPr>
          <w:rFonts w:eastAsia="Times New Roman" w:cs="Times New Roman"/>
        </w:rPr>
        <w:t>s. Data stored in DNA can be reliably retained throughout cell divisions, transferred across species, and easily detected after cell death. Importantly, these devices have the potential to detect transient signals and to record data in otherwise inaccessible environments.</w:t>
      </w:r>
    </w:p>
    <w:p w:rsidR="00116061" w:rsidRDefault="00116061" w:rsidP="007C5ED3">
      <w:pPr>
        <w:rPr>
          <w:rFonts w:eastAsia="Times New Roman" w:cs="Times New Roman"/>
        </w:rPr>
      </w:pPr>
    </w:p>
    <w:p w:rsidR="007C5ED3" w:rsidRPr="007C5ED3" w:rsidRDefault="007C5ED3" w:rsidP="007C5ED3">
      <w:pPr>
        <w:rPr>
          <w:rFonts w:eastAsia="Times New Roman" w:cs="Times New Roman"/>
          <w:b/>
          <w:bCs/>
        </w:rPr>
      </w:pPr>
      <w:r w:rsidRPr="007C5ED3">
        <w:rPr>
          <w:rFonts w:eastAsia="Times New Roman" w:cs="Times New Roman"/>
          <w:b/>
          <w:bCs/>
        </w:rPr>
        <w:t xml:space="preserve">DNA assembly for synthetic biology: from parts to pathways and </w:t>
      </w:r>
      <w:proofErr w:type="spellStart"/>
      <w:r w:rsidRPr="007C5ED3">
        <w:rPr>
          <w:rFonts w:eastAsia="Times New Roman" w:cs="Times New Roman"/>
          <w:b/>
          <w:bCs/>
        </w:rPr>
        <w:t>beyondw</w:t>
      </w:r>
      <w:proofErr w:type="spellEnd"/>
    </w:p>
    <w:p w:rsidR="007C5ED3" w:rsidRPr="007C5ED3" w:rsidRDefault="007C5ED3" w:rsidP="007C5ED3">
      <w:pPr>
        <w:rPr>
          <w:rFonts w:eastAsia="Times New Roman" w:cs="Times New Roman"/>
        </w:rPr>
      </w:pPr>
    </w:p>
    <w:p w:rsidR="00116061" w:rsidRDefault="007C5ED3" w:rsidP="007C5ED3">
      <w:pPr>
        <w:pStyle w:val="ListParagraph"/>
      </w:pPr>
      <w:hyperlink r:id="rId7" w:history="1">
        <w:r w:rsidRPr="008B19DA">
          <w:rPr>
            <w:rStyle w:val="Hyperlink"/>
          </w:rPr>
          <w:t>https://pubs-rsc-org.clsproxy.library.caltech.edu/en/content/articlepdf/2011/ib/c0ib00070a</w:t>
        </w:r>
      </w:hyperlink>
    </w:p>
    <w:p w:rsidR="007C5ED3" w:rsidRDefault="007C5ED3" w:rsidP="007C5ED3">
      <w:pPr>
        <w:pStyle w:val="ListParagraph"/>
      </w:pPr>
    </w:p>
    <w:p w:rsidR="007C5ED3" w:rsidRDefault="007C5ED3" w:rsidP="007C5ED3">
      <w:pPr>
        <w:pStyle w:val="ListParagraph"/>
        <w:numPr>
          <w:ilvl w:val="0"/>
          <w:numId w:val="1"/>
        </w:numPr>
      </w:pPr>
      <w:r>
        <w:t>small fragments into large constructs</w:t>
      </w:r>
    </w:p>
    <w:p w:rsidR="007C5ED3" w:rsidRDefault="007C5ED3" w:rsidP="007C5ED3">
      <w:pPr>
        <w:pStyle w:val="ListParagraph"/>
        <w:numPr>
          <w:ilvl w:val="0"/>
          <w:numId w:val="1"/>
        </w:numPr>
      </w:pPr>
      <w:r>
        <w:t xml:space="preserve">standardized restriction enzyme assembly </w:t>
      </w:r>
      <w:proofErr w:type="spellStart"/>
      <w:r>
        <w:t>protolcl</w:t>
      </w:r>
      <w:proofErr w:type="spellEnd"/>
      <w:r>
        <w:t xml:space="preserve"> – </w:t>
      </w:r>
      <w:proofErr w:type="spellStart"/>
      <w:r>
        <w:t>bioBricks</w:t>
      </w:r>
      <w:proofErr w:type="spellEnd"/>
      <w:r>
        <w:t xml:space="preserve">, </w:t>
      </w:r>
      <w:proofErr w:type="spellStart"/>
      <w:r>
        <w:t>bglBricks</w:t>
      </w:r>
      <w:proofErr w:type="spellEnd"/>
      <w:r>
        <w:t>, golden gate</w:t>
      </w:r>
    </w:p>
    <w:p w:rsidR="007C5ED3" w:rsidRDefault="007C5ED3" w:rsidP="007C5ED3">
      <w:pPr>
        <w:pStyle w:val="ListParagraph"/>
        <w:numPr>
          <w:ilvl w:val="0"/>
          <w:numId w:val="1"/>
        </w:numPr>
      </w:pPr>
      <w:r>
        <w:t>sequence independent overlap techniques – in-fusion, SLIC, Gibson are popular for larger assemblies</w:t>
      </w:r>
    </w:p>
    <w:p w:rsidR="007C5ED3" w:rsidRDefault="007C5ED3" w:rsidP="007C5ED3">
      <w:pPr>
        <w:pStyle w:val="ListParagraph"/>
        <w:numPr>
          <w:ilvl w:val="0"/>
          <w:numId w:val="1"/>
        </w:numPr>
      </w:pPr>
      <w:r>
        <w:rPr>
          <w:i/>
          <w:iCs/>
        </w:rPr>
        <w:t>in vivo</w:t>
      </w:r>
      <w:r>
        <w:t xml:space="preserve"> DNA assembly in yeast and bacillus for chromosome fabrication</w:t>
      </w:r>
    </w:p>
    <w:p w:rsidR="007C5ED3" w:rsidRDefault="00452392" w:rsidP="007C5ED3">
      <w:pPr>
        <w:pStyle w:val="ListParagraph"/>
        <w:numPr>
          <w:ilvl w:val="0"/>
          <w:numId w:val="1"/>
        </w:numPr>
      </w:pPr>
      <w:r>
        <w:t>each ORF is considered in isolation</w:t>
      </w:r>
    </w:p>
    <w:p w:rsidR="00E32EDD" w:rsidRDefault="00E32EDD" w:rsidP="007C5ED3">
      <w:pPr>
        <w:pStyle w:val="ListParagraph"/>
        <w:numPr>
          <w:ilvl w:val="0"/>
          <w:numId w:val="1"/>
        </w:numPr>
      </w:pPr>
      <w:r>
        <w:t>want to combine parts to produce genes, linking genes to make pathways and devices, finally arranging these together to create synthetic chromosomes and genomes</w:t>
      </w:r>
    </w:p>
    <w:p w:rsidR="00E32EDD" w:rsidRDefault="00E32EDD" w:rsidP="007C5ED3">
      <w:pPr>
        <w:pStyle w:val="ListParagraph"/>
        <w:numPr>
          <w:ilvl w:val="0"/>
          <w:numId w:val="1"/>
        </w:numPr>
      </w:pPr>
      <w:r>
        <w:t xml:space="preserve">need an ability to </w:t>
      </w:r>
      <w:r w:rsidRPr="00E32EDD">
        <w:rPr>
          <w:color w:val="FF0000"/>
        </w:rPr>
        <w:t>reliably assemble and test DNA c</w:t>
      </w:r>
      <w:r>
        <w:rPr>
          <w:color w:val="FF0000"/>
        </w:rPr>
        <w:t xml:space="preserve">omponents </w:t>
      </w:r>
      <w:r>
        <w:t>in a high throughput manner</w:t>
      </w:r>
    </w:p>
    <w:p w:rsidR="00E32EDD" w:rsidRDefault="00E32EDD" w:rsidP="007C5ED3">
      <w:pPr>
        <w:pStyle w:val="ListParagraph"/>
        <w:numPr>
          <w:ilvl w:val="0"/>
          <w:numId w:val="1"/>
        </w:numPr>
      </w:pPr>
      <w:proofErr w:type="spellStart"/>
      <w:r>
        <w:t>BioBrick</w:t>
      </w:r>
      <w:proofErr w:type="spellEnd"/>
      <w:r>
        <w:t xml:space="preserve"> – </w:t>
      </w:r>
      <w:proofErr w:type="spellStart"/>
      <w:r>
        <w:t>dna</w:t>
      </w:r>
      <w:proofErr w:type="spellEnd"/>
      <w:r>
        <w:t xml:space="preserve"> unit with standardized flanking sequences that enabled assembly to be achieved by a cheap, simple, and standardized restriction/ligation method</w:t>
      </w:r>
    </w:p>
    <w:p w:rsidR="00E32EDD" w:rsidRDefault="00254CC9" w:rsidP="00254CC9">
      <w:pPr>
        <w:pStyle w:val="ListParagraph"/>
        <w:numPr>
          <w:ilvl w:val="1"/>
          <w:numId w:val="1"/>
        </w:numPr>
      </w:pPr>
      <w:r>
        <w:t>Becomes bad when trying to do intermediate assembly scale involving several genes and regulatory elements</w:t>
      </w:r>
    </w:p>
    <w:p w:rsidR="00254CC9" w:rsidRDefault="00254CC9" w:rsidP="00254CC9">
      <w:pPr>
        <w:pStyle w:val="ListParagraph"/>
        <w:numPr>
          <w:ilvl w:val="0"/>
          <w:numId w:val="1"/>
        </w:numPr>
      </w:pPr>
      <w:r>
        <w:t xml:space="preserve">Parallel assembly – user given self-assembly of many </w:t>
      </w:r>
      <w:proofErr w:type="spellStart"/>
      <w:r>
        <w:t>partsin</w:t>
      </w:r>
      <w:proofErr w:type="spellEnd"/>
      <w:r>
        <w:t xml:space="preserve"> single reaction</w:t>
      </w:r>
    </w:p>
    <w:p w:rsidR="00254CC9" w:rsidRDefault="00254CC9" w:rsidP="00254CC9">
      <w:pPr>
        <w:pStyle w:val="ListParagraph"/>
        <w:numPr>
          <w:ilvl w:val="0"/>
          <w:numId w:val="1"/>
        </w:numPr>
      </w:pPr>
      <w:r>
        <w:t xml:space="preserve">Ordered assembly – </w:t>
      </w:r>
      <w:proofErr w:type="spellStart"/>
      <w:r>
        <w:t>construcst</w:t>
      </w:r>
      <w:proofErr w:type="spellEnd"/>
      <w:r>
        <w:t xml:space="preserve"> with pre-defined physical </w:t>
      </w:r>
      <w:proofErr w:type="spellStart"/>
      <w:r>
        <w:t>arrangemet</w:t>
      </w:r>
      <w:proofErr w:type="spellEnd"/>
    </w:p>
    <w:p w:rsidR="00254CC9" w:rsidRDefault="00254CC9" w:rsidP="00254CC9">
      <w:pPr>
        <w:pStyle w:val="ListParagraph"/>
        <w:numPr>
          <w:ilvl w:val="0"/>
          <w:numId w:val="1"/>
        </w:numPr>
      </w:pPr>
      <w:r>
        <w:t>Combinatorial assembly – multiple versions of parts to be used simultaneously</w:t>
      </w:r>
    </w:p>
    <w:p w:rsidR="00254CC9" w:rsidRDefault="00254CC9" w:rsidP="00254CC9">
      <w:pPr>
        <w:pStyle w:val="ListParagraph"/>
        <w:numPr>
          <w:ilvl w:val="0"/>
          <w:numId w:val="1"/>
        </w:numPr>
      </w:pPr>
      <w:r>
        <w:rPr>
          <w:color w:val="FF0000"/>
        </w:rPr>
        <w:t>Assembly needs to work at all levels of abstraction (genes, pathways, and genomes)and to clearly understand context dependencies when parts are physically placed next to other parts</w:t>
      </w:r>
    </w:p>
    <w:p w:rsidR="00254CC9" w:rsidRDefault="00254CC9" w:rsidP="00254CC9">
      <w:pPr>
        <w:pStyle w:val="ListParagraph"/>
        <w:numPr>
          <w:ilvl w:val="0"/>
          <w:numId w:val="1"/>
        </w:numPr>
      </w:pPr>
      <w:r>
        <w:t xml:space="preserve">Functional gene – promoter, translation start site (RBS for </w:t>
      </w:r>
      <w:proofErr w:type="spellStart"/>
      <w:r>
        <w:t>prok</w:t>
      </w:r>
      <w:proofErr w:type="spellEnd"/>
      <w:r>
        <w:t>), protein coding ORF, and terminator</w:t>
      </w:r>
    </w:p>
    <w:p w:rsidR="00254CC9" w:rsidRDefault="00254CC9" w:rsidP="00254CC9">
      <w:pPr>
        <w:pStyle w:val="ListParagraph"/>
        <w:numPr>
          <w:ilvl w:val="0"/>
          <w:numId w:val="1"/>
        </w:numPr>
      </w:pPr>
      <w:r>
        <w:t>Need ordered assembly</w:t>
      </w:r>
    </w:p>
    <w:p w:rsidR="00254CC9" w:rsidRDefault="00254CC9" w:rsidP="00254CC9">
      <w:pPr>
        <w:pStyle w:val="ListParagraph"/>
        <w:numPr>
          <w:ilvl w:val="0"/>
          <w:numId w:val="1"/>
        </w:numPr>
      </w:pPr>
      <w:r>
        <w:t>Need it to be perfect- ‘scar’ sequences (bases left behind) are undesirable</w:t>
      </w:r>
    </w:p>
    <w:p w:rsidR="00254CC9" w:rsidRDefault="009F0830" w:rsidP="00254CC9">
      <w:pPr>
        <w:pStyle w:val="ListParagraph"/>
        <w:numPr>
          <w:ilvl w:val="0"/>
          <w:numId w:val="1"/>
        </w:numPr>
      </w:pPr>
      <w:r>
        <w:t>Close proximity of parts beings up issue of context dependency</w:t>
      </w:r>
    </w:p>
    <w:p w:rsidR="009F0830" w:rsidRDefault="009F0830" w:rsidP="00254CC9">
      <w:pPr>
        <w:pStyle w:val="ListParagraph"/>
        <w:numPr>
          <w:ilvl w:val="0"/>
          <w:numId w:val="1"/>
        </w:numPr>
      </w:pPr>
      <w:r>
        <w:t>RBS has to be exactly before ORF</w:t>
      </w:r>
    </w:p>
    <w:p w:rsidR="009F0830" w:rsidRDefault="009F0830" w:rsidP="00254CC9">
      <w:pPr>
        <w:pStyle w:val="ListParagraph"/>
        <w:numPr>
          <w:ilvl w:val="0"/>
          <w:numId w:val="1"/>
        </w:numPr>
        <w:rPr>
          <w:color w:val="FF0000"/>
        </w:rPr>
      </w:pPr>
      <w:proofErr w:type="spellStart"/>
      <w:r w:rsidRPr="009F0830">
        <w:rPr>
          <w:color w:val="FF0000"/>
        </w:rPr>
        <w:t>Biobrick</w:t>
      </w:r>
      <w:proofErr w:type="spellEnd"/>
      <w:r w:rsidRPr="009F0830">
        <w:rPr>
          <w:color w:val="FF0000"/>
        </w:rPr>
        <w:t xml:space="preserve"> downside – 8 bp scare sequence found at every junction, can be acceptable</w:t>
      </w:r>
    </w:p>
    <w:p w:rsidR="009F0830" w:rsidRPr="009F0830" w:rsidRDefault="009F0830" w:rsidP="00254CC9">
      <w:pPr>
        <w:pStyle w:val="ListParagraph"/>
        <w:numPr>
          <w:ilvl w:val="0"/>
          <w:numId w:val="1"/>
        </w:numPr>
        <w:rPr>
          <w:color w:val="FF0000"/>
        </w:rPr>
      </w:pPr>
      <w:proofErr w:type="spellStart"/>
      <w:r>
        <w:rPr>
          <w:color w:val="FF0000"/>
        </w:rPr>
        <w:lastRenderedPageBreak/>
        <w:t>BglBrick</w:t>
      </w:r>
      <w:proofErr w:type="spellEnd"/>
      <w:r>
        <w:rPr>
          <w:color w:val="FF0000"/>
        </w:rPr>
        <w:t xml:space="preserve"> has 6 bp scare, </w:t>
      </w:r>
      <w:r>
        <w:t xml:space="preserve">advantage: common restriction enzymes whose recognition sequences are not blocked by the most common DNA methylases, Dam and </w:t>
      </w:r>
      <w:proofErr w:type="spellStart"/>
      <w:r>
        <w:t>Dcm</w:t>
      </w:r>
      <w:proofErr w:type="spellEnd"/>
    </w:p>
    <w:p w:rsidR="009F0830" w:rsidRDefault="009F0830" w:rsidP="00254CC9">
      <w:pPr>
        <w:pStyle w:val="ListParagraph"/>
        <w:numPr>
          <w:ilvl w:val="0"/>
          <w:numId w:val="1"/>
        </w:numPr>
        <w:rPr>
          <w:color w:val="FF0000"/>
        </w:rPr>
      </w:pPr>
      <w:r w:rsidRPr="009F0830">
        <w:rPr>
          <w:color w:val="FF0000"/>
        </w:rPr>
        <w:t xml:space="preserve">Neither can assemble </w:t>
      </w:r>
      <w:proofErr w:type="spellStart"/>
      <w:r w:rsidRPr="009F0830">
        <w:rPr>
          <w:color w:val="FF0000"/>
        </w:rPr>
        <w:t>scarless</w:t>
      </w:r>
      <w:proofErr w:type="spellEnd"/>
      <w:r w:rsidRPr="009F0830">
        <w:rPr>
          <w:color w:val="FF0000"/>
        </w:rPr>
        <w:t xml:space="preserve"> gene from parts and crucially </w:t>
      </w:r>
      <w:proofErr w:type="spellStart"/>
      <w:r w:rsidRPr="009F0830">
        <w:rPr>
          <w:color w:val="FF0000"/>
        </w:rPr>
        <w:t>cannto</w:t>
      </w:r>
      <w:proofErr w:type="spellEnd"/>
      <w:r w:rsidRPr="009F0830">
        <w:rPr>
          <w:color w:val="FF0000"/>
        </w:rPr>
        <w:t xml:space="preserve"> </w:t>
      </w:r>
      <w:proofErr w:type="spellStart"/>
      <w:r w:rsidRPr="009F0830">
        <w:rPr>
          <w:color w:val="FF0000"/>
        </w:rPr>
        <w:t>aseembly</w:t>
      </w:r>
      <w:proofErr w:type="spellEnd"/>
      <w:r w:rsidRPr="009F0830">
        <w:rPr>
          <w:color w:val="FF0000"/>
        </w:rPr>
        <w:t xml:space="preserve"> every sequence of DNA as the use of restriction enzymes means sequences they use </w:t>
      </w:r>
      <w:proofErr w:type="spellStart"/>
      <w:r w:rsidRPr="009F0830">
        <w:rPr>
          <w:color w:val="FF0000"/>
        </w:rPr>
        <w:t>sa</w:t>
      </w:r>
      <w:proofErr w:type="spellEnd"/>
      <w:r w:rsidRPr="009F0830">
        <w:rPr>
          <w:color w:val="FF0000"/>
        </w:rPr>
        <w:t xml:space="preserve"> recognition sites are forbidden within a part</w:t>
      </w:r>
      <w:r>
        <w:rPr>
          <w:color w:val="FF0000"/>
        </w:rPr>
        <w:t xml:space="preserve">. </w:t>
      </w:r>
    </w:p>
    <w:p w:rsidR="009F0830" w:rsidRPr="009F0830" w:rsidRDefault="009F0830" w:rsidP="009F0830">
      <w:pPr>
        <w:pStyle w:val="ListParagraph"/>
        <w:numPr>
          <w:ilvl w:val="0"/>
          <w:numId w:val="1"/>
        </w:numPr>
        <w:rPr>
          <w:rFonts w:eastAsia="Times New Roman" w:cs="Times New Roman"/>
        </w:rPr>
      </w:pPr>
      <w:r w:rsidRPr="009F0830">
        <w:rPr>
          <w:rFonts w:eastAsia="Times New Roman" w:cs="Times New Roman"/>
        </w:rPr>
        <w:t xml:space="preserve">However, </w:t>
      </w:r>
      <w:proofErr w:type="spellStart"/>
      <w:r w:rsidRPr="009F0830">
        <w:rPr>
          <w:rFonts w:eastAsia="Times New Roman" w:cs="Times New Roman"/>
        </w:rPr>
        <w:t>scarless</w:t>
      </w:r>
      <w:proofErr w:type="spellEnd"/>
      <w:r w:rsidRPr="009F0830">
        <w:rPr>
          <w:rFonts w:eastAsia="Times New Roman" w:cs="Times New Roman"/>
        </w:rPr>
        <w:t xml:space="preserve"> assembly without any ‘forbidden sites’ is possible using other methods – notably overlap extension polymerase chain reaction (OE-PCR). </w:t>
      </w:r>
    </w:p>
    <w:p w:rsidR="009F0830" w:rsidRDefault="009F0830" w:rsidP="009F0830">
      <w:pPr>
        <w:pStyle w:val="ListParagraph"/>
        <w:numPr>
          <w:ilvl w:val="1"/>
          <w:numId w:val="1"/>
        </w:numPr>
      </w:pPr>
      <w:r w:rsidRPr="009F0830">
        <w:t>Create homologous ends</w:t>
      </w:r>
    </w:p>
    <w:p w:rsidR="009F0830" w:rsidRDefault="009F0830" w:rsidP="009F0830">
      <w:pPr>
        <w:pStyle w:val="ListParagraph"/>
        <w:numPr>
          <w:ilvl w:val="0"/>
          <w:numId w:val="1"/>
        </w:numPr>
      </w:pPr>
      <w:r>
        <w:t xml:space="preserve">For parts to genes, OE-PCR is always good compared to restriction-ligation assembly. </w:t>
      </w:r>
    </w:p>
    <w:p w:rsidR="009F0830" w:rsidRDefault="009F0830" w:rsidP="009F0830">
      <w:pPr>
        <w:pStyle w:val="ListParagraph"/>
        <w:numPr>
          <w:ilvl w:val="1"/>
          <w:numId w:val="1"/>
        </w:numPr>
        <w:rPr>
          <w:color w:val="FF0000"/>
        </w:rPr>
      </w:pPr>
      <w:r w:rsidRPr="009F0830">
        <w:rPr>
          <w:color w:val="FF0000"/>
        </w:rPr>
        <w:t xml:space="preserve">Dependent on ordering custom oligonucleotide primers for each concatenation, decreasing in cost but are </w:t>
      </w:r>
      <w:proofErr w:type="spellStart"/>
      <w:r w:rsidRPr="009F0830">
        <w:rPr>
          <w:color w:val="FF0000"/>
        </w:rPr>
        <w:t>stille</w:t>
      </w:r>
      <w:proofErr w:type="spellEnd"/>
      <w:r w:rsidRPr="009F0830">
        <w:rPr>
          <w:color w:val="FF0000"/>
        </w:rPr>
        <w:t xml:space="preserve"> </w:t>
      </w:r>
      <w:proofErr w:type="spellStart"/>
      <w:r w:rsidRPr="009F0830">
        <w:rPr>
          <w:color w:val="FF0000"/>
        </w:rPr>
        <w:t>xpensive</w:t>
      </w:r>
      <w:proofErr w:type="spellEnd"/>
      <w:r w:rsidRPr="009F0830">
        <w:rPr>
          <w:color w:val="FF0000"/>
        </w:rPr>
        <w:t xml:space="preserve"> when scaled to library size batches</w:t>
      </w:r>
    </w:p>
    <w:p w:rsidR="009F0830" w:rsidRPr="003605B1" w:rsidRDefault="003605B1" w:rsidP="009F0830">
      <w:pPr>
        <w:pStyle w:val="ListParagraph"/>
        <w:numPr>
          <w:ilvl w:val="0"/>
          <w:numId w:val="1"/>
        </w:numPr>
        <w:rPr>
          <w:color w:val="FF0000"/>
        </w:rPr>
      </w:pPr>
      <w:r>
        <w:t xml:space="preserve">OE PCR USED TO assemble 0.5 to 5 kb genes fragment </w:t>
      </w:r>
      <w:r>
        <w:rPr>
          <w:i/>
          <w:iCs/>
        </w:rPr>
        <w:t>in vitro</w:t>
      </w:r>
      <w:r>
        <w:t xml:space="preserve"> – ligated to plasmids using restriction methods</w:t>
      </w:r>
    </w:p>
    <w:p w:rsidR="003605B1" w:rsidRPr="003605B1" w:rsidRDefault="003605B1" w:rsidP="009F0830">
      <w:pPr>
        <w:pStyle w:val="ListParagraph"/>
        <w:numPr>
          <w:ilvl w:val="0"/>
          <w:numId w:val="1"/>
        </w:numPr>
        <w:rPr>
          <w:color w:val="FF0000"/>
        </w:rPr>
      </w:pPr>
      <w:r>
        <w:t>OE PCR can assemble a whole plasmid (CPEC)</w:t>
      </w:r>
    </w:p>
    <w:p w:rsidR="003605B1" w:rsidRPr="003605B1" w:rsidRDefault="003605B1" w:rsidP="003605B1">
      <w:pPr>
        <w:pStyle w:val="ListParagraph"/>
        <w:numPr>
          <w:ilvl w:val="0"/>
          <w:numId w:val="1"/>
        </w:numPr>
        <w:rPr>
          <w:rFonts w:eastAsia="Times New Roman" w:cs="Times New Roman"/>
        </w:rPr>
      </w:pPr>
      <w:r w:rsidRPr="003605B1">
        <w:rPr>
          <w:rFonts w:eastAsia="Times New Roman" w:cs="Times New Roman"/>
          <w:color w:val="FF0000"/>
        </w:rPr>
        <w:t xml:space="preserve">The huge disadvantage this has for synthetic biology is that individual parts, like promoters and ORFs, cannot be </w:t>
      </w:r>
      <w:proofErr w:type="spellStart"/>
      <w:r w:rsidRPr="003605B1">
        <w:rPr>
          <w:rFonts w:eastAsia="Times New Roman" w:cs="Times New Roman"/>
          <w:color w:val="FF0000"/>
        </w:rPr>
        <w:t>combinatorially</w:t>
      </w:r>
      <w:proofErr w:type="spellEnd"/>
      <w:r w:rsidRPr="003605B1">
        <w:rPr>
          <w:rFonts w:eastAsia="Times New Roman" w:cs="Times New Roman"/>
          <w:color w:val="FF0000"/>
        </w:rPr>
        <w:t xml:space="preserve"> swapped within constructs in order to create gene libraries without a large increase in synthesis costs. At this point the cost-balance switches and it is more common to have a codon-</w:t>
      </w:r>
      <w:proofErr w:type="spellStart"/>
      <w:r w:rsidRPr="003605B1">
        <w:rPr>
          <w:rFonts w:eastAsia="Times New Roman" w:cs="Times New Roman"/>
          <w:color w:val="FF0000"/>
        </w:rPr>
        <w:t>optimised</w:t>
      </w:r>
      <w:proofErr w:type="spellEnd"/>
      <w:r w:rsidRPr="003605B1">
        <w:rPr>
          <w:rFonts w:eastAsia="Times New Roman" w:cs="Times New Roman"/>
          <w:color w:val="FF0000"/>
        </w:rPr>
        <w:t xml:space="preserve"> ORF </w:t>
      </w:r>
      <w:proofErr w:type="spellStart"/>
      <w:r w:rsidRPr="003605B1">
        <w:rPr>
          <w:rFonts w:eastAsia="Times New Roman" w:cs="Times New Roman"/>
          <w:color w:val="FF0000"/>
        </w:rPr>
        <w:t>synthesised</w:t>
      </w:r>
      <w:proofErr w:type="spellEnd"/>
      <w:r w:rsidRPr="003605B1">
        <w:rPr>
          <w:rFonts w:eastAsia="Times New Roman" w:cs="Times New Roman"/>
          <w:color w:val="FF0000"/>
        </w:rPr>
        <w:t>, which can then be assembled into a device using combinatorial techniques.</w:t>
      </w:r>
    </w:p>
    <w:p w:rsidR="003605B1" w:rsidRPr="003605B1" w:rsidRDefault="003605B1" w:rsidP="003605B1">
      <w:pPr>
        <w:pStyle w:val="ListParagraph"/>
        <w:numPr>
          <w:ilvl w:val="0"/>
          <w:numId w:val="1"/>
        </w:numPr>
        <w:rPr>
          <w:rFonts w:eastAsia="Times New Roman" w:cs="Times New Roman"/>
          <w:color w:val="FF0000"/>
        </w:rPr>
      </w:pPr>
      <w:r>
        <w:rPr>
          <w:rFonts w:eastAsia="Times New Roman" w:cs="Times New Roman"/>
        </w:rPr>
        <w:t xml:space="preserve">Most operate at </w:t>
      </w:r>
      <w:r w:rsidR="00C11AA4">
        <w:rPr>
          <w:rFonts w:eastAsia="Times New Roman" w:cs="Times New Roman"/>
        </w:rPr>
        <w:t>a higher scale of linking genes to construct pathways and devices</w:t>
      </w:r>
    </w:p>
    <w:p w:rsidR="003605B1" w:rsidRPr="00C11AA4" w:rsidRDefault="00C11AA4" w:rsidP="009F0830">
      <w:pPr>
        <w:pStyle w:val="ListParagraph"/>
        <w:numPr>
          <w:ilvl w:val="0"/>
          <w:numId w:val="1"/>
        </w:numPr>
        <w:rPr>
          <w:color w:val="FF0000"/>
        </w:rPr>
      </w:pPr>
      <w:r>
        <w:t xml:space="preserve">Importance is to be able to assemble genes </w:t>
      </w:r>
      <w:proofErr w:type="spellStart"/>
      <w:r>
        <w:t>combinatorially</w:t>
      </w:r>
      <w:proofErr w:type="spellEnd"/>
      <w:r>
        <w:t xml:space="preserve"> so that libraries of genes can. Yield massive diversity in possible pathways and devices</w:t>
      </w:r>
    </w:p>
    <w:p w:rsidR="00C11AA4" w:rsidRPr="00C11AA4" w:rsidRDefault="00C11AA4" w:rsidP="009F0830">
      <w:pPr>
        <w:pStyle w:val="ListParagraph"/>
        <w:numPr>
          <w:ilvl w:val="0"/>
          <w:numId w:val="1"/>
        </w:numPr>
        <w:rPr>
          <w:color w:val="FF0000"/>
        </w:rPr>
      </w:pPr>
      <w:r>
        <w:rPr>
          <w:color w:val="FF0000"/>
        </w:rPr>
        <w:t xml:space="preserve">Nature of scar site means that individual parts cannot be replaced once assembled. OE PCR Methods can be used but limited in their ability to scale up, plasmids become less efficient </w:t>
      </w:r>
      <w:proofErr w:type="spellStart"/>
      <w:r>
        <w:rPr>
          <w:color w:val="FF0000"/>
        </w:rPr>
        <w:t>atlarger</w:t>
      </w:r>
      <w:proofErr w:type="spellEnd"/>
      <w:r>
        <w:rPr>
          <w:color w:val="FF0000"/>
        </w:rPr>
        <w:t xml:space="preserve"> sizes, error rate </w:t>
      </w:r>
      <w:proofErr w:type="spellStart"/>
      <w:r>
        <w:rPr>
          <w:color w:val="FF0000"/>
        </w:rPr>
        <w:t>oF</w:t>
      </w:r>
      <w:proofErr w:type="spellEnd"/>
      <w:r>
        <w:rPr>
          <w:color w:val="FF0000"/>
        </w:rPr>
        <w:t xml:space="preserve"> PCR, erroneous for reliable perfect amplification of 10+ kb constructs</w:t>
      </w:r>
    </w:p>
    <w:p w:rsidR="00C11AA4" w:rsidRPr="00C11AA4" w:rsidRDefault="00C11AA4" w:rsidP="00C11AA4">
      <w:pPr>
        <w:pStyle w:val="ListParagraph"/>
        <w:numPr>
          <w:ilvl w:val="0"/>
          <w:numId w:val="1"/>
        </w:numPr>
        <w:rPr>
          <w:rFonts w:eastAsia="Times New Roman" w:cs="Times New Roman"/>
        </w:rPr>
      </w:pPr>
      <w:r w:rsidRPr="00C11AA4">
        <w:rPr>
          <w:rFonts w:eastAsia="Times New Roman" w:cs="Times New Roman"/>
        </w:rPr>
        <w:t>Repeating the pairwise selection cycle with 1 to 2 kb starting fragments can build a 91 kb assembly in only 6 rounds of transition between cassette vectors.</w:t>
      </w:r>
    </w:p>
    <w:p w:rsidR="00C11AA4" w:rsidRDefault="00F70FDB" w:rsidP="00F70FDB">
      <w:pPr>
        <w:pStyle w:val="ListParagraph"/>
        <w:numPr>
          <w:ilvl w:val="0"/>
          <w:numId w:val="1"/>
        </w:numPr>
        <w:rPr>
          <w:rFonts w:eastAsia="Times New Roman" w:cs="Times New Roman"/>
        </w:rPr>
      </w:pPr>
      <w:r w:rsidRPr="00F70FDB">
        <w:rPr>
          <w:rFonts w:eastAsia="Times New Roman" w:cs="Times New Roman"/>
        </w:rPr>
        <w:t xml:space="preserve">The use of tags containing Type IIs sites that double as promoters for stringent antibiotic resistance markers allows this method to be done entirely in liquid culture, facilitating faster throughput using automation with a liquid handling </w:t>
      </w:r>
      <w:proofErr w:type="spellStart"/>
      <w:r w:rsidRPr="00F70FDB">
        <w:rPr>
          <w:rFonts w:eastAsia="Times New Roman" w:cs="Times New Roman"/>
        </w:rPr>
        <w:t>robo</w:t>
      </w:r>
      <w:proofErr w:type="spellEnd"/>
    </w:p>
    <w:p w:rsidR="00F70FDB" w:rsidRDefault="00F70FDB" w:rsidP="00F70FDB">
      <w:pPr>
        <w:pStyle w:val="ListParagraph"/>
        <w:numPr>
          <w:ilvl w:val="0"/>
          <w:numId w:val="1"/>
        </w:numPr>
        <w:rPr>
          <w:rFonts w:eastAsia="Times New Roman" w:cs="Times New Roman"/>
        </w:rPr>
      </w:pPr>
      <w:r w:rsidRPr="00F70FDB">
        <w:rPr>
          <w:rFonts w:eastAsia="Times New Roman" w:cs="Times New Roman"/>
        </w:rPr>
        <w:t>, Gibson et al. successfully assembled a complete synthetic 583 kb M</w:t>
      </w:r>
    </w:p>
    <w:p w:rsidR="00F70FDB" w:rsidRPr="00F70FDB" w:rsidRDefault="00F70FDB" w:rsidP="00F70FDB">
      <w:pPr>
        <w:rPr>
          <w:rFonts w:eastAsia="Times New Roman" w:cs="Times New Roman"/>
          <w:color w:val="FF0000"/>
        </w:rPr>
      </w:pPr>
      <w:r w:rsidRPr="00F70FDB">
        <w:rPr>
          <w:rFonts w:eastAsia="Times New Roman" w:cs="Times New Roman"/>
        </w:rPr>
        <w:t xml:space="preserve">r </w:t>
      </w:r>
      <w:r w:rsidRPr="00F70FDB">
        <w:rPr>
          <w:rFonts w:eastAsia="Times New Roman" w:cs="Times New Roman"/>
          <w:color w:val="FF0000"/>
        </w:rPr>
        <w:t xml:space="preserve">combinatorial construction from </w:t>
      </w:r>
      <w:proofErr w:type="spellStart"/>
      <w:r w:rsidRPr="00F70FDB">
        <w:rPr>
          <w:rFonts w:eastAsia="Times New Roman" w:cs="Times New Roman"/>
          <w:color w:val="FF0000"/>
        </w:rPr>
        <w:t>standarised</w:t>
      </w:r>
      <w:proofErr w:type="spellEnd"/>
      <w:r w:rsidRPr="00F70FDB">
        <w:rPr>
          <w:rFonts w:eastAsia="Times New Roman" w:cs="Times New Roman"/>
          <w:color w:val="FF0000"/>
        </w:rPr>
        <w:t xml:space="preserve"> part libraries, have no forbidden site requirements, and allow for pre-determined order in the final product</w:t>
      </w:r>
      <w:r>
        <w:rPr>
          <w:rFonts w:eastAsia="Times New Roman" w:cs="Times New Roman"/>
          <w:color w:val="FF0000"/>
        </w:rPr>
        <w:t>.</w:t>
      </w:r>
      <w:r w:rsidRPr="00F70FDB">
        <w:rPr>
          <w:rFonts w:eastAsia="Times New Roman" w:cs="Times New Roman"/>
          <w:color w:val="FF0000"/>
        </w:rPr>
        <w:t xml:space="preserve"> </w:t>
      </w:r>
      <w:r w:rsidRPr="00F70FDB">
        <w:rPr>
          <w:rFonts w:eastAsia="Times New Roman" w:cs="Times New Roman"/>
          <w:color w:val="FF0000"/>
        </w:rPr>
        <w:t xml:space="preserve">Yet it would also need to be assembled rapidly in a parallel reaction, applicable for work at any scale and only leave scars between parts that can tolerate them. </w:t>
      </w:r>
    </w:p>
    <w:p w:rsidR="00F70FDB" w:rsidRDefault="00F70FDB" w:rsidP="002E36BB">
      <w:pPr>
        <w:rPr>
          <w:rFonts w:eastAsia="Times New Roman" w:cs="Times New Roman"/>
          <w:color w:val="FF0000"/>
        </w:rPr>
      </w:pPr>
    </w:p>
    <w:p w:rsidR="002E36BB" w:rsidRPr="002E36BB" w:rsidRDefault="002E36BB" w:rsidP="002E36BB">
      <w:pPr>
        <w:rPr>
          <w:rFonts w:eastAsia="Times New Roman" w:cs="Times New Roman"/>
          <w:b/>
          <w:bCs/>
        </w:rPr>
      </w:pPr>
      <w:r w:rsidRPr="002E36BB">
        <w:rPr>
          <w:rFonts w:eastAsia="Times New Roman" w:cs="Times New Roman"/>
          <w:b/>
          <w:bCs/>
        </w:rPr>
        <w:t>A single-input binary counting module based on serine integrase site-specific recombination</w:t>
      </w:r>
    </w:p>
    <w:p w:rsidR="002E36BB" w:rsidRDefault="002E36BB" w:rsidP="002E36BB">
      <w:pPr>
        <w:rPr>
          <w:rFonts w:eastAsia="Times New Roman" w:cs="Times New Roman"/>
        </w:rPr>
      </w:pPr>
      <w:hyperlink r:id="rId8" w:history="1">
        <w:r w:rsidRPr="008B19DA">
          <w:rPr>
            <w:rStyle w:val="Hyperlink"/>
            <w:rFonts w:eastAsia="Times New Roman" w:cs="Times New Roman"/>
          </w:rPr>
          <w:t>https://academic.oup.com/nar/article/47/9/4896/5430839</w:t>
        </w:r>
      </w:hyperlink>
    </w:p>
    <w:p w:rsidR="002E36BB" w:rsidRDefault="002E36BB" w:rsidP="002E36BB">
      <w:pPr>
        <w:pStyle w:val="ListParagraph"/>
        <w:numPr>
          <w:ilvl w:val="0"/>
          <w:numId w:val="1"/>
        </w:numPr>
        <w:rPr>
          <w:rFonts w:eastAsia="Times New Roman" w:cs="Times New Roman"/>
        </w:rPr>
      </w:pPr>
      <w:proofErr w:type="spellStart"/>
      <w:r>
        <w:rPr>
          <w:rFonts w:eastAsia="Times New Roman" w:cs="Times New Roman"/>
        </w:rPr>
        <w:t>Dna</w:t>
      </w:r>
      <w:proofErr w:type="spellEnd"/>
      <w:r>
        <w:rPr>
          <w:rFonts w:eastAsia="Times New Roman" w:cs="Times New Roman"/>
        </w:rPr>
        <w:t xml:space="preserve"> based ‘latch’ that switches between two states upon each exposure to a repeated stimulus</w:t>
      </w:r>
    </w:p>
    <w:p w:rsidR="002E36BB" w:rsidRDefault="002E36BB" w:rsidP="002E36BB">
      <w:pPr>
        <w:pStyle w:val="ListParagraph"/>
        <w:numPr>
          <w:ilvl w:val="1"/>
          <w:numId w:val="1"/>
        </w:numPr>
        <w:rPr>
          <w:rFonts w:eastAsia="Times New Roman" w:cs="Times New Roman"/>
        </w:rPr>
      </w:pPr>
      <w:r>
        <w:rPr>
          <w:rFonts w:eastAsia="Times New Roman" w:cs="Times New Roman"/>
        </w:rPr>
        <w:t xml:space="preserve">By integrase and </w:t>
      </w:r>
      <w:proofErr w:type="spellStart"/>
      <w:r>
        <w:rPr>
          <w:rFonts w:eastAsia="Times New Roman" w:cs="Times New Roman"/>
        </w:rPr>
        <w:t>rdf</w:t>
      </w:r>
      <w:proofErr w:type="spellEnd"/>
    </w:p>
    <w:p w:rsidR="002E36BB" w:rsidRDefault="002E36BB" w:rsidP="002E36BB">
      <w:pPr>
        <w:pStyle w:val="ListParagraph"/>
        <w:numPr>
          <w:ilvl w:val="0"/>
          <w:numId w:val="1"/>
        </w:numPr>
        <w:rPr>
          <w:rFonts w:eastAsia="Times New Roman" w:cs="Times New Roman"/>
        </w:rPr>
      </w:pPr>
      <w:r>
        <w:rPr>
          <w:rFonts w:eastAsia="Times New Roman" w:cs="Times New Roman"/>
        </w:rPr>
        <w:t>N latches could form binary ripple counter that can count to 2n-1</w:t>
      </w:r>
    </w:p>
    <w:p w:rsidR="002E36BB" w:rsidRDefault="002E36BB" w:rsidP="002E36BB">
      <w:pPr>
        <w:pStyle w:val="ListParagraph"/>
        <w:numPr>
          <w:ilvl w:val="0"/>
          <w:numId w:val="1"/>
        </w:numPr>
        <w:rPr>
          <w:rFonts w:eastAsia="Times New Roman" w:cs="Times New Roman"/>
        </w:rPr>
      </w:pPr>
      <w:r>
        <w:rPr>
          <w:rFonts w:eastAsia="Times New Roman" w:cs="Times New Roman"/>
        </w:rPr>
        <w:t>Read before, check senior thesis ideas doc</w:t>
      </w:r>
    </w:p>
    <w:p w:rsidR="002E36BB" w:rsidRDefault="002E36BB" w:rsidP="002E36BB">
      <w:pPr>
        <w:rPr>
          <w:rFonts w:eastAsia="Times New Roman" w:cs="Times New Roman"/>
        </w:rPr>
      </w:pPr>
    </w:p>
    <w:p w:rsidR="002E36BB" w:rsidRPr="002E36BB" w:rsidRDefault="002E36BB" w:rsidP="002E36BB">
      <w:pPr>
        <w:shd w:val="clear" w:color="auto" w:fill="FFFFFF"/>
        <w:spacing w:after="240"/>
        <w:outlineLvl w:val="0"/>
        <w:rPr>
          <w:rFonts w:ascii="Times" w:eastAsia="Times New Roman" w:hAnsi="Times" w:cs="Segoe UI"/>
          <w:b/>
          <w:bCs/>
          <w:color w:val="222222"/>
          <w:kern w:val="36"/>
        </w:rPr>
      </w:pPr>
      <w:r w:rsidRPr="002E36BB">
        <w:rPr>
          <w:rFonts w:ascii="Times" w:eastAsia="Times New Roman" w:hAnsi="Times" w:cs="Segoe UI"/>
          <w:b/>
          <w:bCs/>
          <w:color w:val="222222"/>
          <w:kern w:val="36"/>
        </w:rPr>
        <w:lastRenderedPageBreak/>
        <w:t>Logic Synthesis of Recombinase-Based Genetic Circuits</w:t>
      </w:r>
    </w:p>
    <w:p w:rsidR="002E36BB" w:rsidRPr="002E36BB" w:rsidRDefault="002E36BB" w:rsidP="002E36BB">
      <w:pPr>
        <w:rPr>
          <w:rFonts w:eastAsia="Times New Roman" w:cs="Times New Roman"/>
        </w:rPr>
      </w:pPr>
    </w:p>
    <w:p w:rsidR="002E36BB" w:rsidRPr="002E36BB" w:rsidRDefault="002E36BB" w:rsidP="002E36BB">
      <w:pPr>
        <w:rPr>
          <w:rFonts w:eastAsia="Times New Roman" w:cs="Times New Roman"/>
        </w:rPr>
      </w:pPr>
    </w:p>
    <w:sectPr w:rsidR="002E36BB" w:rsidRPr="002E36BB"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B7D31"/>
    <w:multiLevelType w:val="hybridMultilevel"/>
    <w:tmpl w:val="AD145BD4"/>
    <w:lvl w:ilvl="0" w:tplc="86AC05B2">
      <w:start w:val="103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66"/>
    <w:rsid w:val="00116061"/>
    <w:rsid w:val="00254CC9"/>
    <w:rsid w:val="002E36BB"/>
    <w:rsid w:val="003605B1"/>
    <w:rsid w:val="00452392"/>
    <w:rsid w:val="005E5558"/>
    <w:rsid w:val="006127F4"/>
    <w:rsid w:val="006551DC"/>
    <w:rsid w:val="006C4F52"/>
    <w:rsid w:val="00773E66"/>
    <w:rsid w:val="007C5ED3"/>
    <w:rsid w:val="009F0830"/>
    <w:rsid w:val="00C11AA4"/>
    <w:rsid w:val="00CA6756"/>
    <w:rsid w:val="00D52EB0"/>
    <w:rsid w:val="00E32EDD"/>
    <w:rsid w:val="00F7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B2519"/>
  <w15:chartTrackingRefBased/>
  <w15:docId w15:val="{5CCE1050-CA63-C948-ADCF-F657B419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character" w:customStyle="1" w:styleId="hlfld-title">
    <w:name w:val="hlfld-title"/>
    <w:basedOn w:val="DefaultParagraphFont"/>
    <w:rsid w:val="006127F4"/>
  </w:style>
  <w:style w:type="character" w:styleId="UnresolvedMention">
    <w:name w:val="Unresolved Mention"/>
    <w:basedOn w:val="DefaultParagraphFont"/>
    <w:uiPriority w:val="99"/>
    <w:semiHidden/>
    <w:unhideWhenUsed/>
    <w:rsid w:val="006127F4"/>
    <w:rPr>
      <w:color w:val="605E5C"/>
      <w:shd w:val="clear" w:color="auto" w:fill="E1DFDD"/>
    </w:rPr>
  </w:style>
  <w:style w:type="paragraph" w:styleId="ListParagraph">
    <w:name w:val="List Paragraph"/>
    <w:basedOn w:val="Normal"/>
    <w:uiPriority w:val="34"/>
    <w:qFormat/>
    <w:rsid w:val="00612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60065">
      <w:bodyDiv w:val="1"/>
      <w:marLeft w:val="0"/>
      <w:marRight w:val="0"/>
      <w:marTop w:val="0"/>
      <w:marBottom w:val="0"/>
      <w:divBdr>
        <w:top w:val="none" w:sz="0" w:space="0" w:color="auto"/>
        <w:left w:val="none" w:sz="0" w:space="0" w:color="auto"/>
        <w:bottom w:val="none" w:sz="0" w:space="0" w:color="auto"/>
        <w:right w:val="none" w:sz="0" w:space="0" w:color="auto"/>
      </w:divBdr>
    </w:div>
    <w:div w:id="439616480">
      <w:bodyDiv w:val="1"/>
      <w:marLeft w:val="0"/>
      <w:marRight w:val="0"/>
      <w:marTop w:val="0"/>
      <w:marBottom w:val="0"/>
      <w:divBdr>
        <w:top w:val="none" w:sz="0" w:space="0" w:color="auto"/>
        <w:left w:val="none" w:sz="0" w:space="0" w:color="auto"/>
        <w:bottom w:val="none" w:sz="0" w:space="0" w:color="auto"/>
        <w:right w:val="none" w:sz="0" w:space="0" w:color="auto"/>
      </w:divBdr>
    </w:div>
    <w:div w:id="452985244">
      <w:bodyDiv w:val="1"/>
      <w:marLeft w:val="0"/>
      <w:marRight w:val="0"/>
      <w:marTop w:val="0"/>
      <w:marBottom w:val="0"/>
      <w:divBdr>
        <w:top w:val="none" w:sz="0" w:space="0" w:color="auto"/>
        <w:left w:val="none" w:sz="0" w:space="0" w:color="auto"/>
        <w:bottom w:val="none" w:sz="0" w:space="0" w:color="auto"/>
        <w:right w:val="none" w:sz="0" w:space="0" w:color="auto"/>
      </w:divBdr>
    </w:div>
    <w:div w:id="618340792">
      <w:bodyDiv w:val="1"/>
      <w:marLeft w:val="0"/>
      <w:marRight w:val="0"/>
      <w:marTop w:val="0"/>
      <w:marBottom w:val="0"/>
      <w:divBdr>
        <w:top w:val="none" w:sz="0" w:space="0" w:color="auto"/>
        <w:left w:val="none" w:sz="0" w:space="0" w:color="auto"/>
        <w:bottom w:val="none" w:sz="0" w:space="0" w:color="auto"/>
        <w:right w:val="none" w:sz="0" w:space="0" w:color="auto"/>
      </w:divBdr>
    </w:div>
    <w:div w:id="775833054">
      <w:bodyDiv w:val="1"/>
      <w:marLeft w:val="0"/>
      <w:marRight w:val="0"/>
      <w:marTop w:val="0"/>
      <w:marBottom w:val="0"/>
      <w:divBdr>
        <w:top w:val="none" w:sz="0" w:space="0" w:color="auto"/>
        <w:left w:val="none" w:sz="0" w:space="0" w:color="auto"/>
        <w:bottom w:val="none" w:sz="0" w:space="0" w:color="auto"/>
        <w:right w:val="none" w:sz="0" w:space="0" w:color="auto"/>
      </w:divBdr>
    </w:div>
    <w:div w:id="907299979">
      <w:bodyDiv w:val="1"/>
      <w:marLeft w:val="0"/>
      <w:marRight w:val="0"/>
      <w:marTop w:val="0"/>
      <w:marBottom w:val="0"/>
      <w:divBdr>
        <w:top w:val="none" w:sz="0" w:space="0" w:color="auto"/>
        <w:left w:val="none" w:sz="0" w:space="0" w:color="auto"/>
        <w:bottom w:val="none" w:sz="0" w:space="0" w:color="auto"/>
        <w:right w:val="none" w:sz="0" w:space="0" w:color="auto"/>
      </w:divBdr>
    </w:div>
    <w:div w:id="943269333">
      <w:bodyDiv w:val="1"/>
      <w:marLeft w:val="0"/>
      <w:marRight w:val="0"/>
      <w:marTop w:val="0"/>
      <w:marBottom w:val="0"/>
      <w:divBdr>
        <w:top w:val="none" w:sz="0" w:space="0" w:color="auto"/>
        <w:left w:val="none" w:sz="0" w:space="0" w:color="auto"/>
        <w:bottom w:val="none" w:sz="0" w:space="0" w:color="auto"/>
        <w:right w:val="none" w:sz="0" w:space="0" w:color="auto"/>
      </w:divBdr>
    </w:div>
    <w:div w:id="1079865109">
      <w:bodyDiv w:val="1"/>
      <w:marLeft w:val="0"/>
      <w:marRight w:val="0"/>
      <w:marTop w:val="0"/>
      <w:marBottom w:val="0"/>
      <w:divBdr>
        <w:top w:val="none" w:sz="0" w:space="0" w:color="auto"/>
        <w:left w:val="none" w:sz="0" w:space="0" w:color="auto"/>
        <w:bottom w:val="none" w:sz="0" w:space="0" w:color="auto"/>
        <w:right w:val="none" w:sz="0" w:space="0" w:color="auto"/>
      </w:divBdr>
    </w:div>
    <w:div w:id="1122265848">
      <w:bodyDiv w:val="1"/>
      <w:marLeft w:val="0"/>
      <w:marRight w:val="0"/>
      <w:marTop w:val="0"/>
      <w:marBottom w:val="0"/>
      <w:divBdr>
        <w:top w:val="none" w:sz="0" w:space="0" w:color="auto"/>
        <w:left w:val="none" w:sz="0" w:space="0" w:color="auto"/>
        <w:bottom w:val="none" w:sz="0" w:space="0" w:color="auto"/>
        <w:right w:val="none" w:sz="0" w:space="0" w:color="auto"/>
      </w:divBdr>
    </w:div>
    <w:div w:id="1185099176">
      <w:bodyDiv w:val="1"/>
      <w:marLeft w:val="0"/>
      <w:marRight w:val="0"/>
      <w:marTop w:val="0"/>
      <w:marBottom w:val="0"/>
      <w:divBdr>
        <w:top w:val="none" w:sz="0" w:space="0" w:color="auto"/>
        <w:left w:val="none" w:sz="0" w:space="0" w:color="auto"/>
        <w:bottom w:val="none" w:sz="0" w:space="0" w:color="auto"/>
        <w:right w:val="none" w:sz="0" w:space="0" w:color="auto"/>
      </w:divBdr>
    </w:div>
    <w:div w:id="1360201523">
      <w:bodyDiv w:val="1"/>
      <w:marLeft w:val="0"/>
      <w:marRight w:val="0"/>
      <w:marTop w:val="0"/>
      <w:marBottom w:val="0"/>
      <w:divBdr>
        <w:top w:val="none" w:sz="0" w:space="0" w:color="auto"/>
        <w:left w:val="none" w:sz="0" w:space="0" w:color="auto"/>
        <w:bottom w:val="none" w:sz="0" w:space="0" w:color="auto"/>
        <w:right w:val="none" w:sz="0" w:space="0" w:color="auto"/>
      </w:divBdr>
    </w:div>
    <w:div w:id="1409041289">
      <w:bodyDiv w:val="1"/>
      <w:marLeft w:val="0"/>
      <w:marRight w:val="0"/>
      <w:marTop w:val="0"/>
      <w:marBottom w:val="0"/>
      <w:divBdr>
        <w:top w:val="none" w:sz="0" w:space="0" w:color="auto"/>
        <w:left w:val="none" w:sz="0" w:space="0" w:color="auto"/>
        <w:bottom w:val="none" w:sz="0" w:space="0" w:color="auto"/>
        <w:right w:val="none" w:sz="0" w:space="0" w:color="auto"/>
      </w:divBdr>
    </w:div>
    <w:div w:id="1457873981">
      <w:bodyDiv w:val="1"/>
      <w:marLeft w:val="0"/>
      <w:marRight w:val="0"/>
      <w:marTop w:val="0"/>
      <w:marBottom w:val="0"/>
      <w:divBdr>
        <w:top w:val="none" w:sz="0" w:space="0" w:color="auto"/>
        <w:left w:val="none" w:sz="0" w:space="0" w:color="auto"/>
        <w:bottom w:val="none" w:sz="0" w:space="0" w:color="auto"/>
        <w:right w:val="none" w:sz="0" w:space="0" w:color="auto"/>
      </w:divBdr>
    </w:div>
    <w:div w:id="1546024377">
      <w:bodyDiv w:val="1"/>
      <w:marLeft w:val="0"/>
      <w:marRight w:val="0"/>
      <w:marTop w:val="0"/>
      <w:marBottom w:val="0"/>
      <w:divBdr>
        <w:top w:val="none" w:sz="0" w:space="0" w:color="auto"/>
        <w:left w:val="none" w:sz="0" w:space="0" w:color="auto"/>
        <w:bottom w:val="none" w:sz="0" w:space="0" w:color="auto"/>
        <w:right w:val="none" w:sz="0" w:space="0" w:color="auto"/>
      </w:divBdr>
    </w:div>
    <w:div w:id="2039157238">
      <w:bodyDiv w:val="1"/>
      <w:marLeft w:val="0"/>
      <w:marRight w:val="0"/>
      <w:marTop w:val="0"/>
      <w:marBottom w:val="0"/>
      <w:divBdr>
        <w:top w:val="none" w:sz="0" w:space="0" w:color="auto"/>
        <w:left w:val="none" w:sz="0" w:space="0" w:color="auto"/>
        <w:bottom w:val="none" w:sz="0" w:space="0" w:color="auto"/>
        <w:right w:val="none" w:sz="0" w:space="0" w:color="auto"/>
      </w:divBdr>
    </w:div>
    <w:div w:id="2121878987">
      <w:bodyDiv w:val="1"/>
      <w:marLeft w:val="0"/>
      <w:marRight w:val="0"/>
      <w:marTop w:val="0"/>
      <w:marBottom w:val="0"/>
      <w:divBdr>
        <w:top w:val="none" w:sz="0" w:space="0" w:color="auto"/>
        <w:left w:val="none" w:sz="0" w:space="0" w:color="auto"/>
        <w:bottom w:val="none" w:sz="0" w:space="0" w:color="auto"/>
        <w:right w:val="none" w:sz="0" w:space="0" w:color="auto"/>
      </w:divBdr>
    </w:div>
    <w:div w:id="21319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nar/article/47/9/4896/5430839" TargetMode="External"/><Relationship Id="rId3" Type="http://schemas.openxmlformats.org/officeDocument/2006/relationships/settings" Target="settings.xml"/><Relationship Id="rId7" Type="http://schemas.openxmlformats.org/officeDocument/2006/relationships/hyperlink" Target="https://pubs-rsc-org.clsproxy.library.caltech.edu/en/content/articlepdf/2011/ib/c0ib00070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acs.org/doi/pdf/10.1021/acssynbio.7b00308" TargetMode="External"/><Relationship Id="rId5" Type="http://schemas.openxmlformats.org/officeDocument/2006/relationships/hyperlink" Target="https://pubs.acs.org/doi/10.1021/acssynbio.7b003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4</cp:revision>
  <dcterms:created xsi:type="dcterms:W3CDTF">2020-09-10T17:24:00Z</dcterms:created>
  <dcterms:modified xsi:type="dcterms:W3CDTF">2020-09-11T01:09:00Z</dcterms:modified>
</cp:coreProperties>
</file>