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8A18A5">
      <w:r>
        <w:t>Continue with ATP regeneration</w:t>
      </w:r>
    </w:p>
    <w:p w:rsidR="008A18A5" w:rsidRDefault="008A18A5">
      <w:r>
        <w:tab/>
        <w:t>Implement ATP synthase in membrane</w:t>
      </w:r>
    </w:p>
    <w:p w:rsidR="008A18A5" w:rsidRDefault="008A18A5">
      <w:r>
        <w:tab/>
        <w:t>Test / ATP data collection</w:t>
      </w:r>
    </w:p>
    <w:p w:rsidR="008A18A5" w:rsidRDefault="008A18A5">
      <w:r>
        <w:tab/>
        <w:t>Implement proton pump in membrane</w:t>
      </w:r>
    </w:p>
    <w:p w:rsidR="008A18A5" w:rsidRDefault="008A18A5">
      <w:r>
        <w:tab/>
        <w:t>Test / ATP data collection</w:t>
      </w:r>
    </w:p>
    <w:p w:rsidR="008A18A5" w:rsidRDefault="008A18A5">
      <w:r>
        <w:tab/>
      </w:r>
    </w:p>
    <w:p w:rsidR="008A18A5" w:rsidRDefault="008A18A5">
      <w:r w:rsidRPr="008A18A5">
        <w:rPr>
          <w:b/>
          <w:bCs/>
        </w:rPr>
        <w:t>Questions for</w:t>
      </w:r>
      <w:r>
        <w:t xml:space="preserve"> </w:t>
      </w:r>
      <w:r w:rsidRPr="008A18A5">
        <w:rPr>
          <w:b/>
          <w:bCs/>
        </w:rPr>
        <w:t>John</w:t>
      </w:r>
    </w:p>
    <w:p w:rsidR="008A18A5" w:rsidRDefault="008A18A5">
      <w:r>
        <w:t xml:space="preserve">Where do you see the future of </w:t>
      </w:r>
      <w:proofErr w:type="spellStart"/>
      <w:r>
        <w:t>dna</w:t>
      </w:r>
      <w:proofErr w:type="spellEnd"/>
      <w:r>
        <w:t xml:space="preserve"> messaging going? What are necessary next steps?</w:t>
      </w:r>
    </w:p>
    <w:p w:rsidR="008A18A5" w:rsidRPr="00D249B4" w:rsidRDefault="00D249B4">
      <w:pPr>
        <w:rPr>
          <w:b/>
          <w:bCs/>
        </w:rPr>
      </w:pPr>
      <w:r>
        <w:tab/>
      </w:r>
      <w:proofErr w:type="spellStart"/>
      <w:r>
        <w:rPr>
          <w:b/>
          <w:bCs/>
        </w:rPr>
        <w:t>Dna</w:t>
      </w:r>
      <w:proofErr w:type="spellEnd"/>
      <w:r>
        <w:rPr>
          <w:b/>
          <w:bCs/>
        </w:rPr>
        <w:t xml:space="preserve"> messaging not really used or an immediate thing. Will be used later to create more complex circuits probably.</w:t>
      </w:r>
    </w:p>
    <w:p w:rsidR="008A18A5" w:rsidRDefault="008A18A5">
      <w:r>
        <w:t>What are possible applications? Mentioned quorum sensing</w:t>
      </w:r>
    </w:p>
    <w:p w:rsidR="008A18A5" w:rsidRPr="00D249B4" w:rsidRDefault="00D249B4">
      <w:pPr>
        <w:rPr>
          <w:b/>
          <w:bCs/>
        </w:rPr>
      </w:pPr>
      <w:r>
        <w:rPr>
          <w:b/>
          <w:bCs/>
        </w:rPr>
        <w:t>Not yet</w:t>
      </w:r>
    </w:p>
    <w:p w:rsidR="008A18A5" w:rsidRDefault="008A18A5">
      <w:r>
        <w:t>Anyone else in lab who works on integrases/</w:t>
      </w:r>
      <w:proofErr w:type="spellStart"/>
      <w:r>
        <w:t>excisionases</w:t>
      </w:r>
      <w:proofErr w:type="spellEnd"/>
      <w:r>
        <w:t>?</w:t>
      </w:r>
    </w:p>
    <w:p w:rsidR="008A18A5" w:rsidRPr="00D249B4" w:rsidRDefault="00D249B4">
      <w:pPr>
        <w:rPr>
          <w:b/>
          <w:bCs/>
        </w:rPr>
      </w:pPr>
      <w:r>
        <w:rPr>
          <w:b/>
          <w:bCs/>
        </w:rPr>
        <w:t>Andrey</w:t>
      </w:r>
    </w:p>
    <w:p w:rsidR="008A18A5" w:rsidRDefault="008A18A5">
      <w:r>
        <w:t>When are you done? Who can teach me techniques?</w:t>
      </w:r>
    </w:p>
    <w:p w:rsidR="008A18A5" w:rsidRPr="00D249B4" w:rsidRDefault="00D249B4">
      <w:pPr>
        <w:rPr>
          <w:b/>
          <w:bCs/>
        </w:rPr>
      </w:pPr>
      <w:r>
        <w:rPr>
          <w:b/>
          <w:bCs/>
        </w:rPr>
        <w:t>Have two more years</w:t>
      </w:r>
    </w:p>
    <w:p w:rsidR="008A18A5" w:rsidRDefault="008A18A5">
      <w:r>
        <w:t>Are you publishing a paper with this work and when?</w:t>
      </w:r>
    </w:p>
    <w:p w:rsidR="008A18A5" w:rsidRPr="00D249B4" w:rsidRDefault="00D249B4">
      <w:pPr>
        <w:rPr>
          <w:b/>
          <w:bCs/>
        </w:rPr>
      </w:pPr>
      <w:r>
        <w:rPr>
          <w:b/>
          <w:bCs/>
        </w:rPr>
        <w:t>In two more years</w:t>
      </w:r>
    </w:p>
    <w:p w:rsidR="008A18A5" w:rsidRDefault="008A18A5"/>
    <w:p w:rsidR="00D249B4" w:rsidRDefault="0019533B">
      <w:r>
        <w:t>What is DNA brush?</w:t>
      </w:r>
      <w:r w:rsidR="0049354D">
        <w:t xml:space="preserve"> </w:t>
      </w:r>
    </w:p>
    <w:p w:rsidR="008A18A5" w:rsidRPr="00D249B4" w:rsidRDefault="0049354D">
      <w:pPr>
        <w:rPr>
          <w:b/>
          <w:bCs/>
        </w:rPr>
      </w:pPr>
      <w:r w:rsidRPr="00D249B4">
        <w:rPr>
          <w:b/>
          <w:bCs/>
        </w:rPr>
        <w:t>dsDNA attached to a surface</w:t>
      </w:r>
    </w:p>
    <w:p w:rsidR="0019533B" w:rsidRDefault="0019533B"/>
    <w:p w:rsidR="0019533B" w:rsidRDefault="0019533B">
      <w:r>
        <w:t>Weizmann institute has spatially distributed ‘artificial cells’ that allow for programmable interacti</w:t>
      </w:r>
      <w:r w:rsidR="001175A6">
        <w:t>o</w:t>
      </w:r>
      <w:r>
        <w:t>ns.</w:t>
      </w:r>
    </w:p>
    <w:p w:rsidR="001175A6" w:rsidRDefault="001175A6"/>
    <w:p w:rsidR="001175A6" w:rsidRDefault="001175A6">
      <w:r>
        <w:t xml:space="preserve">From proposal my understanding is what I would look into developing a set of fundamental operations that can be connected together to implement more complex </w:t>
      </w:r>
      <w:proofErr w:type="spellStart"/>
      <w:r>
        <w:t>computationsl</w:t>
      </w:r>
      <w:proofErr w:type="spellEnd"/>
      <w:r>
        <w:t xml:space="preserve"> systems. AND OR NOT gates, pulse generators (feedforward loops), timers and counters (oscillation circuits), memory and event ordering (DNA </w:t>
      </w:r>
      <w:proofErr w:type="spellStart"/>
      <w:r>
        <w:t>itnegratino</w:t>
      </w:r>
      <w:proofErr w:type="spellEnd"/>
      <w:r>
        <w:t xml:space="preserve"> sites), and comparison functions (A&gt;B with molecular sequestration).</w:t>
      </w:r>
    </w:p>
    <w:p w:rsidR="001175A6" w:rsidRDefault="001175A6"/>
    <w:p w:rsidR="001175A6" w:rsidRDefault="001175A6">
      <w:r>
        <w:t>Which of these do you think is feasible to do…what has community already done…what may take a longer time?</w:t>
      </w:r>
    </w:p>
    <w:p w:rsidR="00FB0E05" w:rsidRPr="00FB0E05" w:rsidRDefault="00FB0E05">
      <w:pPr>
        <w:rPr>
          <w:b/>
          <w:bCs/>
        </w:rPr>
      </w:pPr>
      <w:r>
        <w:rPr>
          <w:b/>
          <w:bCs/>
        </w:rPr>
        <w:t>All the low hanging fruit has already been done. Would have to be more complex things.</w:t>
      </w:r>
      <w:r w:rsidR="0082561B">
        <w:rPr>
          <w:b/>
          <w:bCs/>
        </w:rPr>
        <w:t xml:space="preserve"> Perhaps </w:t>
      </w:r>
      <w:r w:rsidR="00597ECE">
        <w:rPr>
          <w:b/>
          <w:bCs/>
        </w:rPr>
        <w:t>combinations</w:t>
      </w:r>
      <w:r w:rsidR="0082561B">
        <w:rPr>
          <w:b/>
          <w:bCs/>
        </w:rPr>
        <w:t>. But I think there are limits that come with trying to do these kinds of experiments.</w:t>
      </w:r>
    </w:p>
    <w:p w:rsidR="001175A6" w:rsidRDefault="001175A6"/>
    <w:p w:rsidR="002A5662" w:rsidRDefault="002A5662"/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</w:p>
    <w:p w:rsidR="002A5662" w:rsidRDefault="002A5662" w:rsidP="002A566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Integrase Notes / Reading</w:t>
      </w:r>
    </w:p>
    <w:p w:rsidR="002A5662" w:rsidRDefault="002A5662" w:rsidP="002A5662"/>
    <w:p w:rsidR="002A5662" w:rsidRDefault="002A5662">
      <w:pPr>
        <w:rPr>
          <w:u w:val="single"/>
        </w:rPr>
      </w:pPr>
      <w:r w:rsidRPr="002A5662">
        <w:rPr>
          <w:u w:val="single"/>
        </w:rPr>
        <w:t>Serine Integrases: Advancing Synthetic Biology</w:t>
      </w:r>
    </w:p>
    <w:p w:rsidR="00574C6B" w:rsidRPr="00574C6B" w:rsidRDefault="00574C6B">
      <w:pPr>
        <w:rPr>
          <w:rFonts w:eastAsia="Times New Roman" w:cs="Times New Roman"/>
        </w:rPr>
      </w:pPr>
      <w:hyperlink r:id="rId5" w:history="1">
        <w:r w:rsidRPr="00574C6B">
          <w:rPr>
            <w:rFonts w:eastAsia="Times New Roman" w:cs="Times New Roman"/>
            <w:color w:val="0000FF"/>
            <w:u w:val="single"/>
          </w:rPr>
          <w:t>https://pubs.acs.org/doi/pdf/10.1021/acssynbio.7b00308</w:t>
        </w:r>
      </w:hyperlink>
    </w:p>
    <w:p w:rsidR="008A18A5" w:rsidRDefault="002A5662" w:rsidP="002A5662">
      <w:pPr>
        <w:pStyle w:val="ListParagraph"/>
        <w:numPr>
          <w:ilvl w:val="0"/>
          <w:numId w:val="1"/>
        </w:numPr>
      </w:pPr>
      <w:r>
        <w:t>Precise rearrangement of DNA through site-specific recombination of small sequence of DNA called attachment (</w:t>
      </w:r>
      <w:proofErr w:type="spellStart"/>
      <w:r>
        <w:t>att</w:t>
      </w:r>
      <w:proofErr w:type="spellEnd"/>
      <w:r>
        <w:t>) sites</w:t>
      </w:r>
    </w:p>
    <w:p w:rsidR="002A5662" w:rsidRDefault="00265AEA" w:rsidP="002A5662">
      <w:pPr>
        <w:pStyle w:val="ListParagraph"/>
        <w:numPr>
          <w:ilvl w:val="0"/>
          <w:numId w:val="1"/>
        </w:numPr>
      </w:pPr>
      <w:r>
        <w:t>Serine integrases are highly directional, can only be reversed in presence of RDF (recombination directionality factor)</w:t>
      </w:r>
    </w:p>
    <w:p w:rsidR="00265AEA" w:rsidRDefault="00265AEA" w:rsidP="00265AEA">
      <w:pPr>
        <w:pStyle w:val="ListParagraph"/>
        <w:numPr>
          <w:ilvl w:val="1"/>
          <w:numId w:val="1"/>
        </w:numPr>
      </w:pPr>
      <w:r>
        <w:t>so they can be used for controlled rearrangement and modification of DNA</w:t>
      </w:r>
    </w:p>
    <w:p w:rsidR="00265AEA" w:rsidRDefault="00265AEA" w:rsidP="00265AEA">
      <w:pPr>
        <w:pStyle w:val="ListParagraph"/>
        <w:numPr>
          <w:ilvl w:val="0"/>
          <w:numId w:val="1"/>
        </w:numPr>
      </w:pPr>
      <w:r>
        <w:t>site-specific recombination requires no extensive DNA sequence homology, no synthesis or degradation of DNA, and has no reliance on endogenous repair pathways or cofactors</w:t>
      </w:r>
    </w:p>
    <w:p w:rsidR="00265AEA" w:rsidRDefault="00265AEA" w:rsidP="00265AEA">
      <w:pPr>
        <w:pStyle w:val="ListParagraph"/>
        <w:numPr>
          <w:ilvl w:val="0"/>
          <w:numId w:val="1"/>
        </w:numPr>
      </w:pPr>
      <w:r>
        <w:t>serine integrases subfamily of serine recombinases</w:t>
      </w:r>
    </w:p>
    <w:p w:rsidR="00265AEA" w:rsidRDefault="00265AEA" w:rsidP="00265AEA">
      <w:pPr>
        <w:pStyle w:val="ListParagraph"/>
        <w:numPr>
          <w:ilvl w:val="1"/>
          <w:numId w:val="1"/>
        </w:numPr>
      </w:pPr>
      <w:r>
        <w:t xml:space="preserve">recombinases make dsDNA breaks </w:t>
      </w:r>
    </w:p>
    <w:p w:rsidR="00265AEA" w:rsidRDefault="00265AEA" w:rsidP="00265AEA">
      <w:pPr>
        <w:pStyle w:val="ListParagraph"/>
        <w:numPr>
          <w:ilvl w:val="1"/>
          <w:numId w:val="1"/>
        </w:numPr>
      </w:pPr>
      <w:r>
        <w:t xml:space="preserve">tyrosine recombine make ss break and rejoin strands via </w:t>
      </w:r>
      <w:proofErr w:type="spellStart"/>
      <w:r>
        <w:t>holliday</w:t>
      </w:r>
      <w:proofErr w:type="spellEnd"/>
      <w:r>
        <w:t xml:space="preserve"> junction</w:t>
      </w:r>
    </w:p>
    <w:p w:rsidR="00265AEA" w:rsidRDefault="00265AEA" w:rsidP="00265AEA">
      <w:pPr>
        <w:pStyle w:val="ListParagraph"/>
        <w:numPr>
          <w:ilvl w:val="1"/>
          <w:numId w:val="1"/>
        </w:numPr>
      </w:pPr>
      <w:r>
        <w:t xml:space="preserve">serine integrases only requires the integrase protein and small </w:t>
      </w:r>
      <w:proofErr w:type="spellStart"/>
      <w:r>
        <w:t>att</w:t>
      </w:r>
      <w:proofErr w:type="spellEnd"/>
      <w:r>
        <w:t xml:space="preserve"> sites ( &lt; 50 bp)</w:t>
      </w:r>
    </w:p>
    <w:p w:rsidR="00265AEA" w:rsidRDefault="00265AEA" w:rsidP="00265AEA">
      <w:pPr>
        <w:pStyle w:val="ListParagraph"/>
        <w:numPr>
          <w:ilvl w:val="0"/>
          <w:numId w:val="1"/>
        </w:numPr>
      </w:pPr>
      <w:r>
        <w:t xml:space="preserve">serine integrases can catalyze recombination between </w:t>
      </w:r>
      <w:proofErr w:type="spellStart"/>
      <w:r>
        <w:t>att</w:t>
      </w:r>
      <w:proofErr w:type="spellEnd"/>
      <w:r>
        <w:t xml:space="preserve"> sites on linear or </w:t>
      </w:r>
      <w:proofErr w:type="spellStart"/>
      <w:r>
        <w:t>circulat</w:t>
      </w:r>
      <w:proofErr w:type="spellEnd"/>
      <w:r>
        <w:t xml:space="preserve"> DNA substrates and, depending on position and orientation, integrase, excise, or invert sections of DNA</w:t>
      </w:r>
    </w:p>
    <w:p w:rsidR="00265AEA" w:rsidRDefault="00265AEA" w:rsidP="00265AEA">
      <w:pPr>
        <w:pStyle w:val="ListParagraph"/>
        <w:numPr>
          <w:ilvl w:val="0"/>
          <w:numId w:val="1"/>
        </w:numPr>
      </w:pPr>
      <w:r>
        <w:t xml:space="preserve">serine integrases are encoded by temperate bacteriophages and catalyze their integration into bacterial genomes through recombination of </w:t>
      </w:r>
      <w:proofErr w:type="spellStart"/>
      <w:r>
        <w:rPr>
          <w:i/>
          <w:iCs/>
        </w:rPr>
        <w:t>attP</w:t>
      </w:r>
      <w:proofErr w:type="spellEnd"/>
      <w:r>
        <w:t xml:space="preserve"> (phage) and </w:t>
      </w:r>
      <w:proofErr w:type="spellStart"/>
      <w:r>
        <w:t>attB</w:t>
      </w:r>
      <w:proofErr w:type="spellEnd"/>
      <w:r>
        <w:t xml:space="preserve"> (bacteria) attachment sites, generating </w:t>
      </w:r>
      <w:proofErr w:type="spellStart"/>
      <w:r>
        <w:t>attL</w:t>
      </w:r>
      <w:proofErr w:type="spellEnd"/>
      <w:r>
        <w:t xml:space="preserve"> (left) and </w:t>
      </w:r>
      <w:proofErr w:type="spellStart"/>
      <w:r>
        <w:t>attR</w:t>
      </w:r>
      <w:proofErr w:type="spellEnd"/>
      <w:r>
        <w:t xml:space="preserve"> (right) sites</w:t>
      </w:r>
    </w:p>
    <w:p w:rsidR="00265AEA" w:rsidRDefault="00574C6B" w:rsidP="00265AEA">
      <w:pPr>
        <w:pStyle w:val="ListParagraph"/>
        <w:numPr>
          <w:ilvl w:val="0"/>
          <w:numId w:val="1"/>
        </w:numPr>
      </w:pPr>
      <w:r>
        <w:t xml:space="preserve">integrases preferentially form complexes with </w:t>
      </w:r>
      <w:proofErr w:type="spellStart"/>
      <w:r>
        <w:t>attP</w:t>
      </w:r>
      <w:proofErr w:type="spellEnd"/>
      <w:r>
        <w:t xml:space="preserve"> and </w:t>
      </w:r>
      <w:proofErr w:type="spellStart"/>
      <w:r>
        <w:t>attB</w:t>
      </w:r>
      <w:proofErr w:type="spellEnd"/>
      <w:r>
        <w:t xml:space="preserve"> sites, and prohibit </w:t>
      </w:r>
      <w:proofErr w:type="spellStart"/>
      <w:r>
        <w:t>attL</w:t>
      </w:r>
      <w:proofErr w:type="spellEnd"/>
      <w:r>
        <w:t xml:space="preserve"> and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recombinations</w:t>
      </w:r>
      <w:proofErr w:type="spellEnd"/>
    </w:p>
    <w:p w:rsidR="00574C6B" w:rsidRDefault="00574C6B" w:rsidP="00265AEA">
      <w:pPr>
        <w:pStyle w:val="ListParagraph"/>
        <w:numPr>
          <w:ilvl w:val="0"/>
          <w:numId w:val="1"/>
        </w:numPr>
      </w:pPr>
      <w:r>
        <w:t xml:space="preserve">serine residues cleave the </w:t>
      </w:r>
      <w:proofErr w:type="spellStart"/>
      <w:r>
        <w:t>att</w:t>
      </w:r>
      <w:proofErr w:type="spellEnd"/>
      <w:r>
        <w:t xml:space="preserve"> sites, leaves 3-2 overhang, switch and bind</w:t>
      </w:r>
    </w:p>
    <w:p w:rsidR="00574C6B" w:rsidRDefault="00574C6B" w:rsidP="00265AEA">
      <w:pPr>
        <w:pStyle w:val="ListParagraph"/>
        <w:numPr>
          <w:ilvl w:val="0"/>
          <w:numId w:val="1"/>
        </w:numPr>
      </w:pPr>
      <w:r>
        <w:t xml:space="preserve">RDFs are phage-encoded proteins that bind integrase proteins, stimulate recombination of </w:t>
      </w:r>
      <w:proofErr w:type="spellStart"/>
      <w:r>
        <w:t>attL</w:t>
      </w:r>
      <w:proofErr w:type="spellEnd"/>
      <w:r>
        <w:t xml:space="preserve"> and </w:t>
      </w:r>
      <w:proofErr w:type="spellStart"/>
      <w:r>
        <w:t>attR</w:t>
      </w:r>
      <w:proofErr w:type="spellEnd"/>
      <w:r>
        <w:t xml:space="preserve"> sites, and inhibit recombination of </w:t>
      </w:r>
      <w:proofErr w:type="spellStart"/>
      <w:r>
        <w:t>attP</w:t>
      </w:r>
      <w:proofErr w:type="spellEnd"/>
      <w:r>
        <w:t xml:space="preserve"> and </w:t>
      </w:r>
      <w:proofErr w:type="spellStart"/>
      <w:r>
        <w:t>attB</w:t>
      </w:r>
      <w:proofErr w:type="spellEnd"/>
      <w:r>
        <w:t xml:space="preserve"> sites</w:t>
      </w:r>
    </w:p>
    <w:p w:rsidR="00574C6B" w:rsidRDefault="00574C6B" w:rsidP="00265AEA">
      <w:pPr>
        <w:pStyle w:val="ListParagraph"/>
        <w:numPr>
          <w:ilvl w:val="0"/>
          <w:numId w:val="1"/>
        </w:numPr>
      </w:pPr>
      <w:r>
        <w:t>Integration can be targeted to a specific locus known to have minimal positional effects on transgene expression</w:t>
      </w:r>
    </w:p>
    <w:p w:rsidR="00574C6B" w:rsidRDefault="00574C6B" w:rsidP="00265AEA">
      <w:pPr>
        <w:pStyle w:val="ListParagraph"/>
        <w:numPr>
          <w:ilvl w:val="0"/>
          <w:numId w:val="1"/>
        </w:numPr>
      </w:pPr>
      <w:r>
        <w:t xml:space="preserve">Most commonly used: load DNA into pre-existing </w:t>
      </w:r>
      <w:proofErr w:type="spellStart"/>
      <w:r>
        <w:t>enomic</w:t>
      </w:r>
      <w:proofErr w:type="spellEnd"/>
      <w:r>
        <w:t xml:space="preserve"> loci (</w:t>
      </w:r>
      <w:proofErr w:type="spellStart"/>
      <w:r>
        <w:t>pseudosites</w:t>
      </w:r>
      <w:proofErr w:type="spellEnd"/>
      <w:r>
        <w:t xml:space="preserve">), those that use a ‘landing pad’ (single </w:t>
      </w:r>
      <w:proofErr w:type="spellStart"/>
      <w:r>
        <w:t>att</w:t>
      </w:r>
      <w:proofErr w:type="spellEnd"/>
      <w:r>
        <w:t xml:space="preserve"> site integrated in genome), and recombinase-mediate cassette exchange (RMCE)</w:t>
      </w:r>
    </w:p>
    <w:p w:rsidR="00C30DF8" w:rsidRDefault="00C30DF8" w:rsidP="00265AEA">
      <w:pPr>
        <w:pStyle w:val="ListParagraph"/>
        <w:numPr>
          <w:ilvl w:val="0"/>
          <w:numId w:val="1"/>
        </w:numPr>
      </w:pPr>
      <w:r>
        <w:t>Increasing information storage capacity of integrase-based logic and memory devices</w:t>
      </w:r>
    </w:p>
    <w:p w:rsidR="00C30DF8" w:rsidRDefault="00EF27C0" w:rsidP="00265AEA">
      <w:pPr>
        <w:pStyle w:val="ListParagraph"/>
        <w:numPr>
          <w:ilvl w:val="0"/>
          <w:numId w:val="1"/>
        </w:numPr>
      </w:pPr>
      <w:r>
        <w:t>Use CRISPR-cas9 to record presence of biological signals</w:t>
      </w:r>
    </w:p>
    <w:p w:rsidR="0047457C" w:rsidRDefault="0047457C" w:rsidP="0047457C"/>
    <w:p w:rsidR="0047457C" w:rsidRDefault="0047457C" w:rsidP="0047457C">
      <w:r>
        <w:rPr>
          <w:u w:val="single"/>
        </w:rPr>
        <w:t>A single-input binary counting module based on serine integrase site-specific recombination</w:t>
      </w:r>
    </w:p>
    <w:p w:rsidR="0047457C" w:rsidRPr="0047457C" w:rsidRDefault="0047457C" w:rsidP="0047457C">
      <w:pPr>
        <w:rPr>
          <w:rFonts w:eastAsia="Times New Roman" w:cs="Times New Roman"/>
        </w:rPr>
      </w:pPr>
      <w:hyperlink r:id="rId6" w:history="1">
        <w:r w:rsidRPr="0047457C">
          <w:rPr>
            <w:rFonts w:eastAsia="Times New Roman" w:cs="Times New Roman"/>
            <w:color w:val="0000FF"/>
            <w:u w:val="single"/>
          </w:rPr>
          <w:t>https://academic.oup.com/nar/article/47/9/4896/5430839</w:t>
        </w:r>
      </w:hyperlink>
    </w:p>
    <w:p w:rsidR="0047457C" w:rsidRDefault="0047457C" w:rsidP="0047457C"/>
    <w:p w:rsidR="0047457C" w:rsidRDefault="0047457C" w:rsidP="0047457C">
      <w:pPr>
        <w:rPr>
          <w:u w:val="single"/>
        </w:rPr>
      </w:pPr>
      <w:r>
        <w:rPr>
          <w:u w:val="single"/>
        </w:rPr>
        <w:t>Logic Synthesis of Recombinase-Based Genetic Circuits (2017)</w:t>
      </w:r>
    </w:p>
    <w:p w:rsidR="0047457C" w:rsidRPr="0047457C" w:rsidRDefault="0047457C" w:rsidP="0047457C">
      <w:pPr>
        <w:rPr>
          <w:rFonts w:eastAsia="Times New Roman" w:cs="Times New Roman"/>
        </w:rPr>
      </w:pPr>
      <w:hyperlink r:id="rId7" w:history="1">
        <w:r w:rsidRPr="0047457C">
          <w:rPr>
            <w:rFonts w:eastAsia="Times New Roman" w:cs="Times New Roman"/>
            <w:color w:val="0000FF"/>
            <w:u w:val="single"/>
          </w:rPr>
          <w:t>https://www.nature.com/articles/s41598-017-07386-3.pdf</w:t>
        </w:r>
      </w:hyperlink>
    </w:p>
    <w:p w:rsidR="0047457C" w:rsidRDefault="0047457C" w:rsidP="0047457C"/>
    <w:p w:rsidR="0047457C" w:rsidRDefault="0047457C" w:rsidP="0047457C">
      <w:pPr>
        <w:pStyle w:val="ListParagraph"/>
        <w:numPr>
          <w:ilvl w:val="0"/>
          <w:numId w:val="2"/>
        </w:numPr>
      </w:pPr>
      <w:r>
        <w:t>Synthetic two-input logic gates in E coli cells with long-term memory based on DNA inversion induced by recombinases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t>DNA inversion mediated by genome editing tools is possible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t>CRISPR-cas9 can be exploited to implement large-scale recombinase-based circuits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t>How to construct arbitrary Boolean functions based on emerging technologies?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lastRenderedPageBreak/>
        <w:t>Use existing electronic design automation (EDA) tools to automate the synthesis of complex recombinase-based genetic circuits with respect to area and delay optimization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rPr>
          <w:i/>
          <w:iCs/>
        </w:rPr>
        <w:t>In silico</w:t>
      </w:r>
      <w:r>
        <w:t xml:space="preserve"> experimental results demonstrate applicability of proposed methods as a useful tool for recombinase-based genetic circuit synthesis and optimization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t>Transgenerational memory – store the computational results in separate synthetic memory devices which can be duplicated in cell divisions</w:t>
      </w:r>
    </w:p>
    <w:p w:rsidR="0047457C" w:rsidRDefault="0047457C" w:rsidP="0047457C">
      <w:pPr>
        <w:pStyle w:val="ListParagraph"/>
        <w:numPr>
          <w:ilvl w:val="0"/>
          <w:numId w:val="2"/>
        </w:numPr>
      </w:pPr>
      <w:r>
        <w:t>Computational result automatically stored in computing circuit configuration and changes of configuration can be propagated to its descendant cells</w:t>
      </w:r>
    </w:p>
    <w:p w:rsidR="0047457C" w:rsidRDefault="0047457C" w:rsidP="0047457C">
      <w:pPr>
        <w:pStyle w:val="ListParagraph"/>
        <w:numPr>
          <w:ilvl w:val="1"/>
          <w:numId w:val="2"/>
        </w:numPr>
      </w:pPr>
      <w:r>
        <w:t>For 90 generations</w:t>
      </w:r>
    </w:p>
    <w:p w:rsidR="0047457C" w:rsidRDefault="00901324" w:rsidP="0047457C">
      <w:pPr>
        <w:pStyle w:val="ListParagraph"/>
        <w:numPr>
          <w:ilvl w:val="0"/>
          <w:numId w:val="2"/>
        </w:numPr>
      </w:pPr>
      <w:r>
        <w:t xml:space="preserve">AHL </w:t>
      </w:r>
      <w:proofErr w:type="spellStart"/>
      <w:r>
        <w:t>acitavtes</w:t>
      </w:r>
      <w:proofErr w:type="spellEnd"/>
      <w:r>
        <w:t xml:space="preserve"> expression recombinase Bxb1 and </w:t>
      </w:r>
      <w:proofErr w:type="spellStart"/>
      <w:r>
        <w:t>aTc</w:t>
      </w:r>
      <w:proofErr w:type="spellEnd"/>
      <w:r>
        <w:t xml:space="preserve"> for phiC31</w:t>
      </w:r>
    </w:p>
    <w:p w:rsidR="00901324" w:rsidRDefault="00901324" w:rsidP="0047457C">
      <w:pPr>
        <w:pStyle w:val="ListParagraph"/>
        <w:numPr>
          <w:ilvl w:val="0"/>
          <w:numId w:val="2"/>
        </w:numPr>
      </w:pPr>
      <w:r>
        <w:t xml:space="preserve">GFP when both AHL and </w:t>
      </w:r>
      <w:proofErr w:type="spellStart"/>
      <w:r>
        <w:t>aTc</w:t>
      </w:r>
      <w:proofErr w:type="spellEnd"/>
      <w:r>
        <w:t xml:space="preserve"> in high concentration</w:t>
      </w:r>
    </w:p>
    <w:p w:rsidR="00901324" w:rsidRDefault="00901324" w:rsidP="0047457C">
      <w:pPr>
        <w:pStyle w:val="ListParagraph"/>
        <w:numPr>
          <w:ilvl w:val="0"/>
          <w:numId w:val="2"/>
        </w:numPr>
      </w:pPr>
      <w:r>
        <w:t xml:space="preserve">Try to construct complex logic gates with more inputs – 4 input logic circuits </w:t>
      </w:r>
    </w:p>
    <w:p w:rsidR="00894A07" w:rsidRDefault="00894A07" w:rsidP="0047457C">
      <w:pPr>
        <w:pStyle w:val="ListParagraph"/>
        <w:numPr>
          <w:ilvl w:val="0"/>
          <w:numId w:val="2"/>
        </w:numPr>
      </w:pPr>
      <w:r>
        <w:t>Shorter DNA sequence is more likely to succeed in vector insertion to deploy genetic circuit into host cell to conduct intended computation – Gibson assembly</w:t>
      </w:r>
    </w:p>
    <w:p w:rsidR="00894A07" w:rsidRDefault="00894A07" w:rsidP="00894A07"/>
    <w:p w:rsidR="00894A07" w:rsidRDefault="00894A07" w:rsidP="00894A07"/>
    <w:p w:rsidR="00894A07" w:rsidRDefault="00894A07" w:rsidP="00894A07">
      <w:r>
        <w:rPr>
          <w:u w:val="single"/>
        </w:rPr>
        <w:t>An Automated Design Framework for Multicellular Recombinase Logic</w:t>
      </w:r>
      <w:r>
        <w:t xml:space="preserve"> 2018</w:t>
      </w:r>
    </w:p>
    <w:p w:rsidR="00894A07" w:rsidRPr="00894A07" w:rsidRDefault="00894A07" w:rsidP="00894A07">
      <w:pPr>
        <w:rPr>
          <w:rFonts w:eastAsia="Times New Roman" w:cs="Times New Roman"/>
        </w:rPr>
      </w:pPr>
      <w:hyperlink r:id="rId8" w:history="1">
        <w:r w:rsidRPr="00894A07">
          <w:rPr>
            <w:rFonts w:eastAsia="Times New Roman" w:cs="Times New Roman"/>
            <w:color w:val="0000FF"/>
            <w:u w:val="single"/>
          </w:rPr>
          <w:t>https://pubs.acs.org/doi/pdf/10.1021/acssynbio.8b00016</w:t>
        </w:r>
      </w:hyperlink>
    </w:p>
    <w:p w:rsidR="00894A07" w:rsidRDefault="00894A07" w:rsidP="00894A07"/>
    <w:p w:rsidR="00894A07" w:rsidRDefault="00894A07" w:rsidP="00894A07">
      <w:pPr>
        <w:pStyle w:val="ListParagraph"/>
        <w:numPr>
          <w:ilvl w:val="0"/>
          <w:numId w:val="3"/>
        </w:numPr>
      </w:pPr>
      <w:r>
        <w:t>Issue – current designs are performed on a case-by-case basis, limiting their scalability and requiring time consuming optimization</w:t>
      </w:r>
    </w:p>
    <w:p w:rsidR="00894A07" w:rsidRDefault="00894A07" w:rsidP="00894A07">
      <w:pPr>
        <w:pStyle w:val="ListParagraph"/>
        <w:numPr>
          <w:ilvl w:val="0"/>
          <w:numId w:val="3"/>
        </w:numPr>
      </w:pPr>
      <w:r>
        <w:t>Automated workflow for designing recombinase logic devices executing Boolean functions</w:t>
      </w:r>
    </w:p>
    <w:p w:rsidR="00894A07" w:rsidRDefault="00894A07" w:rsidP="00894A07">
      <w:pPr>
        <w:pStyle w:val="ListParagraph"/>
        <w:numPr>
          <w:ilvl w:val="0"/>
          <w:numId w:val="3"/>
        </w:numPr>
      </w:pPr>
      <w:r>
        <w:t>CALIN – Composable asynchronous logic using integrase networks</w:t>
      </w:r>
    </w:p>
    <w:p w:rsidR="00894A07" w:rsidRDefault="00894A07" w:rsidP="00894A07">
      <w:pPr>
        <w:pStyle w:val="ListParagraph"/>
        <w:numPr>
          <w:ilvl w:val="0"/>
          <w:numId w:val="3"/>
        </w:numPr>
      </w:pPr>
      <w:r>
        <w:t>When greater than 4 inputs – can cause metabolic burden and affect cellular viability</w:t>
      </w:r>
    </w:p>
    <w:p w:rsidR="00894A07" w:rsidRDefault="00936E5C" w:rsidP="00894A07">
      <w:pPr>
        <w:pStyle w:val="ListParagraph"/>
        <w:numPr>
          <w:ilvl w:val="0"/>
          <w:numId w:val="3"/>
        </w:numPr>
      </w:pPr>
      <w:r>
        <w:t>Distributed multicellular computation (DMC)</w:t>
      </w:r>
    </w:p>
    <w:p w:rsidR="00936E5C" w:rsidRDefault="00936E5C" w:rsidP="00936E5C">
      <w:pPr>
        <w:pStyle w:val="ListParagraph"/>
        <w:numPr>
          <w:ilvl w:val="1"/>
          <w:numId w:val="3"/>
        </w:numPr>
      </w:pPr>
      <w:r>
        <w:t>Based on the decomposition of a Boolean function into various subfunctions, each performed by a particular subpopulation of cells</w:t>
      </w:r>
    </w:p>
    <w:p w:rsidR="00936E5C" w:rsidRDefault="00936E5C" w:rsidP="00936E5C">
      <w:pPr>
        <w:pStyle w:val="ListParagraph"/>
        <w:numPr>
          <w:ilvl w:val="0"/>
          <w:numId w:val="3"/>
        </w:numPr>
      </w:pPr>
      <w:r>
        <w:t>While highly scalable, the need for spatial separation between each subpopulation prevents these systems from operating autonomously</w:t>
      </w:r>
    </w:p>
    <w:p w:rsidR="00936E5C" w:rsidRDefault="00446B07" w:rsidP="00936E5C">
      <w:pPr>
        <w:pStyle w:val="ListParagraph"/>
        <w:numPr>
          <w:ilvl w:val="0"/>
          <w:numId w:val="3"/>
        </w:numPr>
      </w:pPr>
      <w:r>
        <w:t>Their design for Boolean logic based on a reduced library of cellular computing units responding to one or multiple inputs</w:t>
      </w:r>
    </w:p>
    <w:p w:rsidR="00446B07" w:rsidRDefault="00446B07" w:rsidP="00936E5C">
      <w:pPr>
        <w:pStyle w:val="ListParagraph"/>
        <w:numPr>
          <w:ilvl w:val="0"/>
          <w:numId w:val="3"/>
        </w:numPr>
      </w:pPr>
      <w:r>
        <w:t>Logic system is single layer, doesn’t need cell-cell communication or spatial separation</w:t>
      </w:r>
    </w:p>
    <w:p w:rsidR="00446B07" w:rsidRDefault="00446B07" w:rsidP="00936E5C">
      <w:pPr>
        <w:pStyle w:val="ListParagraph"/>
        <w:numPr>
          <w:ilvl w:val="0"/>
          <w:numId w:val="3"/>
        </w:numPr>
      </w:pPr>
      <w:r>
        <w:t>CALIN takes truth tables as inputs and providing corresponding DNA designs and sequences as outputs</w:t>
      </w:r>
    </w:p>
    <w:p w:rsidR="00894A07" w:rsidRDefault="00446B07" w:rsidP="00894A07">
      <w:pPr>
        <w:pStyle w:val="ListParagraph"/>
        <w:numPr>
          <w:ilvl w:val="0"/>
          <w:numId w:val="3"/>
        </w:numPr>
      </w:pPr>
      <w:r>
        <w:t>If one cellular subpopulation is ON (expression of the output gene), then the global output of the system is ON</w:t>
      </w:r>
    </w:p>
    <w:p w:rsidR="00446B07" w:rsidRDefault="00446B07" w:rsidP="00446B07"/>
    <w:p w:rsidR="00446B07" w:rsidRDefault="00446B07" w:rsidP="00446B07">
      <w:pPr>
        <w:rPr>
          <w:u w:val="single"/>
        </w:rPr>
      </w:pPr>
      <w:r>
        <w:rPr>
          <w:u w:val="single"/>
        </w:rPr>
        <w:t>Permanent genetic memory with &gt;1-byte capacity</w:t>
      </w:r>
      <w:r w:rsidR="00B92C11">
        <w:rPr>
          <w:u w:val="single"/>
        </w:rPr>
        <w:t xml:space="preserve"> 2014</w:t>
      </w:r>
    </w:p>
    <w:p w:rsidR="00B92C11" w:rsidRPr="00B92C11" w:rsidRDefault="00B92C11" w:rsidP="00B92C11">
      <w:pPr>
        <w:rPr>
          <w:rFonts w:eastAsia="Times New Roman" w:cs="Times New Roman"/>
        </w:rPr>
      </w:pPr>
      <w:hyperlink r:id="rId9" w:history="1">
        <w:r w:rsidRPr="00B92C11">
          <w:rPr>
            <w:rFonts w:eastAsia="Times New Roman" w:cs="Times New Roman"/>
            <w:color w:val="0000FF"/>
            <w:u w:val="single"/>
          </w:rPr>
          <w:t>https://www.rle.mit.edu/sbg/wp-content/uploads/2014/10/Permanent-genetic-memory-with-1-byte-capacity.pdf</w:t>
        </w:r>
      </w:hyperlink>
    </w:p>
    <w:p w:rsidR="00B92C11" w:rsidRPr="00B92C11" w:rsidRDefault="00B92C11" w:rsidP="00B92C11">
      <w:pPr>
        <w:pStyle w:val="ListParagraph"/>
        <w:numPr>
          <w:ilvl w:val="0"/>
          <w:numId w:val="4"/>
        </w:numPr>
      </w:pPr>
    </w:p>
    <w:sectPr w:rsidR="00B92C11" w:rsidRPr="00B92C11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151C5"/>
    <w:multiLevelType w:val="hybridMultilevel"/>
    <w:tmpl w:val="6242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067C"/>
    <w:multiLevelType w:val="hybridMultilevel"/>
    <w:tmpl w:val="DFA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108D3"/>
    <w:multiLevelType w:val="hybridMultilevel"/>
    <w:tmpl w:val="575E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4F2"/>
    <w:multiLevelType w:val="hybridMultilevel"/>
    <w:tmpl w:val="BF20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F"/>
    <w:rsid w:val="0003079E"/>
    <w:rsid w:val="001175A6"/>
    <w:rsid w:val="0019533B"/>
    <w:rsid w:val="00265AEA"/>
    <w:rsid w:val="002A5662"/>
    <w:rsid w:val="00446B07"/>
    <w:rsid w:val="0047339F"/>
    <w:rsid w:val="0047457C"/>
    <w:rsid w:val="0049354D"/>
    <w:rsid w:val="00574C6B"/>
    <w:rsid w:val="00597ECE"/>
    <w:rsid w:val="005E5558"/>
    <w:rsid w:val="0082561B"/>
    <w:rsid w:val="00894A07"/>
    <w:rsid w:val="008A18A5"/>
    <w:rsid w:val="00901324"/>
    <w:rsid w:val="00936E5C"/>
    <w:rsid w:val="00B92C11"/>
    <w:rsid w:val="00C30DF8"/>
    <w:rsid w:val="00CA6756"/>
    <w:rsid w:val="00D249B4"/>
    <w:rsid w:val="00D52EB0"/>
    <w:rsid w:val="00EF27C0"/>
    <w:rsid w:val="00F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5C035"/>
  <w15:chartTrackingRefBased/>
  <w15:docId w15:val="{C8F0139B-87A8-0946-9D9F-E552616B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character" w:customStyle="1" w:styleId="hlfld-title">
    <w:name w:val="hlfld-title"/>
    <w:basedOn w:val="DefaultParagraphFont"/>
    <w:rsid w:val="002A5662"/>
  </w:style>
  <w:style w:type="paragraph" w:styleId="ListParagraph">
    <w:name w:val="List Paragraph"/>
    <w:basedOn w:val="Normal"/>
    <w:uiPriority w:val="34"/>
    <w:qFormat/>
    <w:rsid w:val="002A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pdf/10.1021/acssynbio.8b00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7-07386-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nar/article/47/9/4896/54308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s.acs.org/doi/pdf/10.1021/acssynbio.7b003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le.mit.edu/sbg/wp-content/uploads/2014/10/Permanent-genetic-memory-with-1-byte-capac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9</cp:revision>
  <dcterms:created xsi:type="dcterms:W3CDTF">2020-08-14T16:32:00Z</dcterms:created>
  <dcterms:modified xsi:type="dcterms:W3CDTF">2020-08-17T22:42:00Z</dcterms:modified>
</cp:coreProperties>
</file>