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BC8AF" w14:textId="77777777" w:rsidR="00D302FF" w:rsidRDefault="00000000">
      <w:pPr>
        <w:jc w:val="center"/>
        <w:rPr>
          <w:b/>
          <w:sz w:val="48"/>
          <w:szCs w:val="40"/>
        </w:rPr>
      </w:pPr>
      <w:r w:rsidRPr="00CB4E43">
        <w:rPr>
          <w:b/>
          <w:sz w:val="48"/>
          <w:szCs w:val="40"/>
        </w:rPr>
        <w:t>FINANCIAL PERFORMANCE DASHBOARD — LOGIC, INSIGHTS &amp; ASSUMPTIONS</w:t>
      </w:r>
    </w:p>
    <w:p w14:paraId="1B5FEE5B" w14:textId="77777777" w:rsidR="00CB4E43" w:rsidRPr="00CB4E43" w:rsidRDefault="00CB4E43">
      <w:pPr>
        <w:jc w:val="center"/>
        <w:rPr>
          <w:sz w:val="32"/>
          <w:szCs w:val="40"/>
        </w:rPr>
      </w:pPr>
    </w:p>
    <w:p w14:paraId="788E9CB1" w14:textId="560423B9" w:rsidR="00D302FF" w:rsidRPr="00CB4E43" w:rsidRDefault="00000000" w:rsidP="009E12D4">
      <w:pPr>
        <w:pStyle w:val="ListParagraph"/>
        <w:numPr>
          <w:ilvl w:val="0"/>
          <w:numId w:val="10"/>
        </w:numPr>
        <w:spacing w:after="60" w:line="240" w:lineRule="auto"/>
        <w:rPr>
          <w:sz w:val="22"/>
        </w:rPr>
      </w:pPr>
      <w:r w:rsidRPr="00CB4E43">
        <w:rPr>
          <w:b/>
          <w:sz w:val="22"/>
          <w:u w:val="single"/>
        </w:rPr>
        <w:t>Objective &amp; scope</w:t>
      </w:r>
      <w:r w:rsidR="009E12D4" w:rsidRPr="00CB4E43">
        <w:rPr>
          <w:b/>
          <w:sz w:val="22"/>
          <w:u w:val="single"/>
        </w:rPr>
        <w:t>:</w:t>
      </w:r>
      <w:r w:rsidRPr="00CB4E43">
        <w:rPr>
          <w:b/>
          <w:sz w:val="22"/>
        </w:rPr>
        <w:t xml:space="preserve"> </w:t>
      </w:r>
      <w:r w:rsidRPr="00CB4E43">
        <w:rPr>
          <w:sz w:val="22"/>
        </w:rPr>
        <w:t>The Power BI dashboard provides a monthly view of financial health and performance, with filtering by period, region and product category. It covers Revenue, COGS, Gross Profit, Opex, EBITDA, cash flows, receivables/payables aging and budget-versus-actual performance.</w:t>
      </w:r>
    </w:p>
    <w:p w14:paraId="740CC29D" w14:textId="77777777" w:rsidR="009E12D4" w:rsidRPr="00CB4E43" w:rsidRDefault="009E12D4">
      <w:pPr>
        <w:spacing w:after="60" w:line="240" w:lineRule="auto"/>
        <w:rPr>
          <w:sz w:val="22"/>
        </w:rPr>
      </w:pPr>
    </w:p>
    <w:p w14:paraId="121E1835" w14:textId="340D7083" w:rsidR="00D302FF" w:rsidRPr="00CB4E43" w:rsidRDefault="00000000" w:rsidP="009E12D4">
      <w:pPr>
        <w:pStyle w:val="ListParagraph"/>
        <w:numPr>
          <w:ilvl w:val="0"/>
          <w:numId w:val="10"/>
        </w:numPr>
        <w:spacing w:after="60" w:line="240" w:lineRule="auto"/>
        <w:rPr>
          <w:sz w:val="22"/>
        </w:rPr>
      </w:pPr>
      <w:r w:rsidRPr="00CB4E43">
        <w:rPr>
          <w:b/>
          <w:sz w:val="22"/>
          <w:u w:val="single"/>
        </w:rPr>
        <w:t>Data preparation &amp; model logic</w:t>
      </w:r>
      <w:r w:rsidR="009E12D4" w:rsidRPr="00CB4E43">
        <w:rPr>
          <w:b/>
          <w:sz w:val="22"/>
          <w:u w:val="single"/>
        </w:rPr>
        <w:t>:</w:t>
      </w:r>
      <w:r w:rsidRPr="00CB4E43">
        <w:rPr>
          <w:b/>
          <w:sz w:val="22"/>
        </w:rPr>
        <w:t xml:space="preserve"> </w:t>
      </w:r>
      <w:r w:rsidRPr="00CB4E43">
        <w:rPr>
          <w:sz w:val="22"/>
        </w:rPr>
        <w:t>The source data was cleaned and structured in Power Query, with date fields standardized and monthly reporting supported through a DimMonth table. The model follows a star-schema approach: FactFinancial is the central fact table, with DimMonth, DimRegion and DimProduct providing reporting dimensions. Month Start is the date key, and Year Month is sorted using Year Month Sort to preserve chronological order. Measures are used for aggregation in the visuals.</w:t>
      </w:r>
    </w:p>
    <w:p w14:paraId="26B5402C" w14:textId="77777777" w:rsidR="009E12D4" w:rsidRPr="00CB4E43" w:rsidRDefault="009E12D4">
      <w:pPr>
        <w:spacing w:after="60" w:line="240" w:lineRule="auto"/>
        <w:rPr>
          <w:sz w:val="22"/>
        </w:rPr>
      </w:pPr>
    </w:p>
    <w:p w14:paraId="27935DEE" w14:textId="22FE65E9" w:rsidR="00D302FF" w:rsidRPr="00CB4E43" w:rsidRDefault="00000000" w:rsidP="009E12D4">
      <w:pPr>
        <w:pStyle w:val="ListParagraph"/>
        <w:numPr>
          <w:ilvl w:val="0"/>
          <w:numId w:val="10"/>
        </w:numPr>
        <w:spacing w:after="60" w:line="240" w:lineRule="auto"/>
        <w:rPr>
          <w:sz w:val="22"/>
        </w:rPr>
      </w:pPr>
      <w:r w:rsidRPr="00CB4E43">
        <w:rPr>
          <w:b/>
          <w:sz w:val="22"/>
          <w:u w:val="single"/>
        </w:rPr>
        <w:t>Key calculation logic</w:t>
      </w:r>
      <w:r w:rsidR="009E12D4" w:rsidRPr="00CB4E43">
        <w:rPr>
          <w:b/>
          <w:sz w:val="22"/>
          <w:u w:val="single"/>
        </w:rPr>
        <w:t>:</w:t>
      </w:r>
      <w:r w:rsidRPr="00CB4E43">
        <w:rPr>
          <w:b/>
          <w:sz w:val="22"/>
        </w:rPr>
        <w:t xml:space="preserve"> </w:t>
      </w:r>
      <w:r w:rsidRPr="00CB4E43">
        <w:rPr>
          <w:sz w:val="22"/>
        </w:rPr>
        <w:t xml:space="preserve">Revenue = SUM(Revenue); Revenue Budget = </w:t>
      </w:r>
      <w:proofErr w:type="gramStart"/>
      <w:r w:rsidRPr="00CB4E43">
        <w:rPr>
          <w:sz w:val="22"/>
        </w:rPr>
        <w:t>SUM(</w:t>
      </w:r>
      <w:proofErr w:type="gramEnd"/>
      <w:r w:rsidRPr="00CB4E43">
        <w:rPr>
          <w:sz w:val="22"/>
        </w:rPr>
        <w:t xml:space="preserve">Revenue Budget); Gross Profit = </w:t>
      </w:r>
      <w:proofErr w:type="gramStart"/>
      <w:r w:rsidRPr="00CB4E43">
        <w:rPr>
          <w:sz w:val="22"/>
        </w:rPr>
        <w:t>SUM(</w:t>
      </w:r>
      <w:proofErr w:type="gramEnd"/>
      <w:r w:rsidRPr="00CB4E43">
        <w:rPr>
          <w:sz w:val="22"/>
        </w:rPr>
        <w:t>Gross Profit); Gross Margin % = Gross Profit ÷ Revenue; EBITDA = SUM(EBITDA); EBITDA % = EBITDA ÷ Revenue; Net Cash = Cash Inflows − Cash Outflows; Budget Variance = Actual Revenue − Revenue Budget; Budget Variance % = Budget Variance ÷ Revenue Budget. The cash-flow waterfall uses inflows as increases, outflows as decreases, and Net Cash as the resulting total.</w:t>
      </w:r>
    </w:p>
    <w:p w14:paraId="473BACB7" w14:textId="77777777" w:rsidR="009E12D4" w:rsidRPr="00CB4E43" w:rsidRDefault="009E12D4">
      <w:pPr>
        <w:spacing w:after="60" w:line="240" w:lineRule="auto"/>
        <w:rPr>
          <w:sz w:val="22"/>
        </w:rPr>
      </w:pPr>
    </w:p>
    <w:p w14:paraId="5B874189" w14:textId="4B5D8569" w:rsidR="00D302FF" w:rsidRPr="00CB4E43" w:rsidRDefault="00000000" w:rsidP="009E12D4">
      <w:pPr>
        <w:pStyle w:val="ListParagraph"/>
        <w:numPr>
          <w:ilvl w:val="0"/>
          <w:numId w:val="10"/>
        </w:numPr>
        <w:spacing w:after="60" w:line="240" w:lineRule="auto"/>
        <w:rPr>
          <w:sz w:val="22"/>
        </w:rPr>
      </w:pPr>
      <w:r w:rsidRPr="00CB4E43">
        <w:rPr>
          <w:b/>
          <w:sz w:val="22"/>
          <w:u w:val="single"/>
        </w:rPr>
        <w:t>Dashboard insights</w:t>
      </w:r>
      <w:r w:rsidR="009E12D4" w:rsidRPr="00CB4E43">
        <w:rPr>
          <w:b/>
          <w:sz w:val="22"/>
          <w:u w:val="single"/>
        </w:rPr>
        <w:t>:</w:t>
      </w:r>
      <w:r w:rsidR="009E12D4" w:rsidRPr="00CB4E43">
        <w:rPr>
          <w:b/>
          <w:sz w:val="22"/>
        </w:rPr>
        <w:t xml:space="preserve"> </w:t>
      </w:r>
      <w:r w:rsidRPr="00CB4E43">
        <w:rPr>
          <w:sz w:val="22"/>
        </w:rPr>
        <w:t>At the current unfiltered dashboard view, Revenue is approximately $23.6M, Gross Margin is 45.5%, EBITDA Margin is 24.8%, and Net Cash is approximately $688K. Product-category revenue is about $14.2M versus $9.4M for Services, so Products contribute the larger share of reported revenue. The Actual-versus-Budget visual shows actual revenue below budget across most displayed months, while the Budget Variance % trend is predominantly negative, indicating recurring underperformance against the revenue budget. The cash-flow waterfall shows approximately $2.9M of inflows and $2.2M of outflows, leaving roughly $0.7M net cash in the displayed context. Receivables aging is concentrated in the 0–30 and 31–60</w:t>
      </w:r>
      <w:r w:rsidR="009E12D4" w:rsidRPr="00CB4E43">
        <w:rPr>
          <w:sz w:val="22"/>
        </w:rPr>
        <w:t>-</w:t>
      </w:r>
      <w:r w:rsidRPr="00CB4E43">
        <w:rPr>
          <w:sz w:val="22"/>
        </w:rPr>
        <w:t>day buckets shown on the dashboard.</w:t>
      </w:r>
    </w:p>
    <w:p w14:paraId="41A44498" w14:textId="77777777" w:rsidR="009E12D4" w:rsidRPr="00CB4E43" w:rsidRDefault="009E12D4">
      <w:pPr>
        <w:spacing w:after="60" w:line="240" w:lineRule="auto"/>
        <w:rPr>
          <w:sz w:val="22"/>
        </w:rPr>
      </w:pPr>
    </w:p>
    <w:p w14:paraId="6EEA08F2" w14:textId="23B615B7" w:rsidR="00D302FF" w:rsidRPr="00CB4E43" w:rsidRDefault="00000000" w:rsidP="009E12D4">
      <w:pPr>
        <w:pStyle w:val="ListParagraph"/>
        <w:numPr>
          <w:ilvl w:val="0"/>
          <w:numId w:val="10"/>
        </w:numPr>
        <w:spacing w:after="60" w:line="240" w:lineRule="auto"/>
        <w:rPr>
          <w:sz w:val="22"/>
        </w:rPr>
      </w:pPr>
      <w:r w:rsidRPr="00CB4E43">
        <w:rPr>
          <w:b/>
          <w:sz w:val="22"/>
          <w:u w:val="single"/>
        </w:rPr>
        <w:t>Interactivity &amp; analytical use</w:t>
      </w:r>
      <w:r w:rsidR="009E12D4" w:rsidRPr="00CB4E43">
        <w:rPr>
          <w:b/>
          <w:sz w:val="22"/>
          <w:u w:val="single"/>
        </w:rPr>
        <w:t>:</w:t>
      </w:r>
      <w:r w:rsidRPr="00CB4E43">
        <w:rPr>
          <w:b/>
          <w:sz w:val="22"/>
        </w:rPr>
        <w:t xml:space="preserve"> </w:t>
      </w:r>
      <w:r w:rsidRPr="00CB4E43">
        <w:rPr>
          <w:sz w:val="22"/>
        </w:rPr>
        <w:t>Users can filter by period, region and product category, review monthly trends, compare actual revenue with budget, inspect product/service performance, and use drill-downs from higher-level categories to detailed items. Year Month is chronologically sorted to prevent alphabetical month ordering.</w:t>
      </w:r>
    </w:p>
    <w:p w14:paraId="68DC7EDD" w14:textId="77777777" w:rsidR="009E12D4" w:rsidRPr="00CB4E43" w:rsidRDefault="009E12D4">
      <w:pPr>
        <w:spacing w:after="60" w:line="240" w:lineRule="auto"/>
        <w:rPr>
          <w:sz w:val="22"/>
        </w:rPr>
      </w:pPr>
    </w:p>
    <w:p w14:paraId="1D54F846" w14:textId="77777777" w:rsidR="009E12D4" w:rsidRPr="00CB4E43" w:rsidRDefault="00000000" w:rsidP="009E12D4">
      <w:pPr>
        <w:pStyle w:val="ListParagraph"/>
        <w:numPr>
          <w:ilvl w:val="0"/>
          <w:numId w:val="10"/>
        </w:numPr>
        <w:spacing w:after="60"/>
        <w:rPr>
          <w:bCs/>
          <w:sz w:val="22"/>
          <w:lang w:val="en-IN"/>
        </w:rPr>
      </w:pPr>
      <w:r w:rsidRPr="00CB4E43">
        <w:rPr>
          <w:b/>
          <w:sz w:val="22"/>
          <w:u w:val="single"/>
        </w:rPr>
        <w:t>Assumptions &amp; data-quality notes</w:t>
      </w:r>
      <w:r w:rsidR="009E12D4" w:rsidRPr="00CB4E43">
        <w:rPr>
          <w:b/>
          <w:sz w:val="22"/>
          <w:u w:val="single"/>
        </w:rPr>
        <w:t>:</w:t>
      </w:r>
      <w:r w:rsidRPr="00CB4E43">
        <w:rPr>
          <w:b/>
          <w:sz w:val="22"/>
        </w:rPr>
        <w:t xml:space="preserve"> </w:t>
      </w:r>
      <w:r w:rsidR="009E12D4" w:rsidRPr="00CB4E43">
        <w:rPr>
          <w:bCs/>
          <w:sz w:val="22"/>
          <w:lang w:val="en-IN"/>
        </w:rPr>
        <w:t xml:space="preserve">Month Start represents the reporting month. Year Month is sorted using Year Month Sort so the months appear chronologically. Budget Variance is Actual minus Budget. Net Cash is Inflows minus Outflows. Negative variance means actual revenue is below budget. The dashboard shows the results in the supplied data; it does not assume the reasons behind those results. </w:t>
      </w:r>
    </w:p>
    <w:p w14:paraId="5FC5587D" w14:textId="77777777" w:rsidR="009E12D4" w:rsidRPr="00CB4E43" w:rsidRDefault="009E12D4" w:rsidP="009E12D4">
      <w:pPr>
        <w:pStyle w:val="ListParagraph"/>
        <w:rPr>
          <w:bCs/>
          <w:sz w:val="22"/>
          <w:lang w:val="en-IN"/>
        </w:rPr>
      </w:pPr>
    </w:p>
    <w:p w14:paraId="70264964" w14:textId="64E76D32" w:rsidR="009E12D4" w:rsidRPr="00CB4E43" w:rsidRDefault="009E12D4" w:rsidP="009E12D4">
      <w:pPr>
        <w:pStyle w:val="ListParagraph"/>
        <w:numPr>
          <w:ilvl w:val="0"/>
          <w:numId w:val="10"/>
        </w:numPr>
        <w:spacing w:after="60"/>
        <w:rPr>
          <w:bCs/>
          <w:sz w:val="22"/>
          <w:lang w:val="en-IN"/>
        </w:rPr>
      </w:pPr>
      <w:r w:rsidRPr="00CB4E43">
        <w:rPr>
          <w:bCs/>
          <w:sz w:val="22"/>
          <w:lang w:val="en-IN"/>
        </w:rPr>
        <w:t>The dashboard allows management to quickly identify financial performance, compare actual results with budget, monitor profitability and cash, and identify areas that may need further investigation.</w:t>
      </w:r>
    </w:p>
    <w:p w14:paraId="23662680" w14:textId="7ACC1835" w:rsidR="00D302FF" w:rsidRPr="00CB4E43" w:rsidRDefault="00D302FF" w:rsidP="009E12D4">
      <w:pPr>
        <w:pStyle w:val="ListParagraph"/>
        <w:spacing w:after="60" w:line="240" w:lineRule="auto"/>
        <w:rPr>
          <w:sz w:val="22"/>
        </w:rPr>
      </w:pPr>
    </w:p>
    <w:sectPr w:rsidR="00D302FF" w:rsidRPr="00CB4E43"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6A24B1"/>
    <w:multiLevelType w:val="hybridMultilevel"/>
    <w:tmpl w:val="AE047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7894746">
    <w:abstractNumId w:val="8"/>
  </w:num>
  <w:num w:numId="2" w16cid:durableId="1856571059">
    <w:abstractNumId w:val="6"/>
  </w:num>
  <w:num w:numId="3" w16cid:durableId="1533031063">
    <w:abstractNumId w:val="5"/>
  </w:num>
  <w:num w:numId="4" w16cid:durableId="551693546">
    <w:abstractNumId w:val="4"/>
  </w:num>
  <w:num w:numId="5" w16cid:durableId="1484345473">
    <w:abstractNumId w:val="7"/>
  </w:num>
  <w:num w:numId="6" w16cid:durableId="1869099366">
    <w:abstractNumId w:val="3"/>
  </w:num>
  <w:num w:numId="7" w16cid:durableId="621543953">
    <w:abstractNumId w:val="2"/>
  </w:num>
  <w:num w:numId="8" w16cid:durableId="67961790">
    <w:abstractNumId w:val="1"/>
  </w:num>
  <w:num w:numId="9" w16cid:durableId="1511334896">
    <w:abstractNumId w:val="0"/>
  </w:num>
  <w:num w:numId="10" w16cid:durableId="21276562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3CC"/>
    <w:rsid w:val="0029639D"/>
    <w:rsid w:val="00326F90"/>
    <w:rsid w:val="005636A5"/>
    <w:rsid w:val="009E12D4"/>
    <w:rsid w:val="00AA1D8D"/>
    <w:rsid w:val="00B0789F"/>
    <w:rsid w:val="00B47730"/>
    <w:rsid w:val="00C94630"/>
    <w:rsid w:val="00CB0664"/>
    <w:rsid w:val="00CB4E43"/>
    <w:rsid w:val="00CF2F33"/>
    <w:rsid w:val="00CF46F7"/>
    <w:rsid w:val="00D302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5764A3"/>
  <w14:defaultImageDpi w14:val="300"/>
  <w15:docId w15:val="{B3D796E5-7095-485F-9053-981D21CD3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E12D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449</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Ankita Sarkar</cp:lastModifiedBy>
  <cp:revision>3</cp:revision>
  <dcterms:created xsi:type="dcterms:W3CDTF">2026-10-10T17:12:00Z</dcterms:created>
  <dcterms:modified xsi:type="dcterms:W3CDTF">2026-10-10T17:14:00Z</dcterms:modified>
  <cp:category/>
</cp:coreProperties>
</file>