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6"/>
          <w:szCs w:val="36"/>
        </w:rPr>
        <w:t xml:space="preserve">Project Report</w:t>
      </w:r>
    </w:p>
    <w:p>
      <w:pPr>
        <w:spacing w:after="60"/>
      </w:pPr>
      <w:r>
        <w:rPr>
          <w:b/>
          <w:bCs/>
          <w:color w:val="2E75B6"/>
          <w:sz w:val="26"/>
          <w:szCs w:val="26"/>
        </w:rPr>
        <w:t xml:space="preserve">Psychometric Validation of a Social-Emotional Learning (SEL) Scale</w:t>
      </w:r>
    </w:p>
    <w:p>
      <w:pPr>
        <w:spacing w:after="300"/>
      </w:pPr>
      <w:r>
        <w:rPr>
          <w:i/>
          <w:iCs/>
          <w:color w:val="555555"/>
          <w:sz w:val="20"/>
          <w:szCs w:val="20"/>
        </w:rPr>
        <w:t xml:space="preserve">Classical Test Theory · Reliability Analysis · Exploratory Factor Analysis · Item Response Theory</w:t>
      </w:r>
    </w:p>
    <w:p>
      <w:pPr>
        <w:pBdr>
          <w:bottom w:val="single" w:color="2E75B6" w:sz="6" w:space="1"/>
        </w:pBdr>
        <w:spacing w:after="200" w:before="100"/>
      </w:pPr>
    </w:p>
    <w:p>
      <w:pPr>
        <w:pStyle w:val="Heading2"/>
      </w:pPr>
      <w:r>
        <w:t xml:space="preserve">Aim</w:t>
      </w:r>
    </w:p>
    <w:p>
      <w:pPr>
        <w:spacing w:after="160"/>
      </w:pPr>
      <w:r>
        <w:t xml:space="preserve">To design and statistically validate a multi-dimensional psychometric scale measuring Social-Emotional Learning (SEL) competencies, applying the full set of methods used to establish that a measurement instrument is reliable and structurally sound: item analysis, reliability estimation, factor structure testing, and item response modelling.</w:t>
      </w:r>
    </w:p>
    <w:p>
      <w:pPr>
        <w:pStyle w:val="Heading2"/>
      </w:pPr>
      <w:r>
        <w:t xml:space="preserve">Methodology</w:t>
      </w:r>
    </w:p>
    <w:p>
      <w:pPr>
        <w:pStyle w:val="ListParagraph"/>
        <w:numPr>
          <w:ilvl w:val="0"/>
          <w:numId w:val="2"/>
        </w:numPr>
        <w:spacing w:after="80"/>
      </w:pPr>
      <w:r>
        <w:t xml:space="preserve">Designed a 20-item scale across 5 subscales — Self-Awareness, Empathy, Resilience, Collaboration, Emotional Regulation — 4 items each, scored on a 5-point Likert scale.</w:t>
      </w:r>
    </w:p>
    <w:p>
      <w:pPr>
        <w:pStyle w:val="ListParagraph"/>
        <w:numPr>
          <w:ilvl w:val="0"/>
          <w:numId w:val="2"/>
        </w:numPr>
        <w:spacing w:after="80"/>
      </w:pPr>
      <w:r>
        <w:t xml:space="preserve">Simulated item-response data for 500 respondents using a multivariate latent-trait model with known true item loadings (0.60-0.85) and a moderate inter-subscale correlation (r=0.3), allowing the analysis to be checked against ground truth.</w:t>
      </w:r>
    </w:p>
    <w:p>
      <w:pPr>
        <w:pStyle w:val="ListParagraph"/>
        <w:numPr>
          <w:ilvl w:val="0"/>
          <w:numId w:val="2"/>
        </w:numPr>
        <w:spacing w:after="80"/>
      </w:pPr>
      <w:r>
        <w:t xml:space="preserve">Conducted Classical Test Theory (CTT) item analysis: item means, standard deviations, and item-total correlations to identify weak items (threshold: r &lt; 0.30).</w:t>
      </w:r>
    </w:p>
    <w:p>
      <w:pPr>
        <w:pStyle w:val="ListParagraph"/>
        <w:numPr>
          <w:ilvl w:val="0"/>
          <w:numId w:val="2"/>
        </w:numPr>
        <w:spacing w:after="80"/>
      </w:pPr>
      <w:r>
        <w:t xml:space="preserve">Computed Cronbach's alpha for overall and per-subscale reliability, cross-validated using the pingouin library.</w:t>
      </w:r>
    </w:p>
    <w:p>
      <w:pPr>
        <w:pStyle w:val="ListParagraph"/>
        <w:numPr>
          <w:ilvl w:val="0"/>
          <w:numId w:val="2"/>
        </w:numPr>
        <w:spacing w:after="80"/>
      </w:pPr>
      <w:r>
        <w:t xml:space="preserve">Tested sampling adequacy using Bartlett's test of sphericity and the Kaiser-Meyer-Olkin (KMO) measure.</w:t>
      </w:r>
    </w:p>
    <w:p>
      <w:pPr>
        <w:pStyle w:val="ListParagraph"/>
        <w:numPr>
          <w:ilvl w:val="0"/>
          <w:numId w:val="2"/>
        </w:numPr>
        <w:spacing w:after="80"/>
      </w:pPr>
      <w:r>
        <w:t xml:space="preserve">Ran parallel analysis to statistically determine the correct number of underlying factors, followed by varimax-rotated Exploratory Factor Analysis (EFA).</w:t>
      </w:r>
    </w:p>
    <w:p>
      <w:pPr>
        <w:pStyle w:val="ListParagraph"/>
        <w:numPr>
          <w:ilvl w:val="0"/>
          <w:numId w:val="2"/>
        </w:numPr>
        <w:spacing w:after="80"/>
      </w:pPr>
      <w:r>
        <w:t xml:space="preserve">Fitted a Graded Response Model (Item Response Theory) on the Resilience subscale using the girth library, extracting item discrimination and difficulty/threshold parameters, and plotted Item Characteristic Curves.</w:t>
      </w:r>
    </w:p>
    <w:p>
      <w:pPr>
        <w:pStyle w:val="ListParagraph"/>
        <w:numPr>
          <w:ilvl w:val="0"/>
          <w:numId w:val="2"/>
        </w:numPr>
        <w:spacing w:after="80"/>
      </w:pPr>
      <w:r>
        <w:t xml:space="preserve">Auto-generated a written validation summary report directly from the computed statistics.</w:t>
      </w:r>
    </w:p>
    <w:p>
      <w:pPr>
        <w:pStyle w:val="Heading2"/>
      </w:pPr>
      <w:r>
        <w:t xml:space="preserve">Libraries &amp; Tools Used</w:t>
      </w:r>
    </w:p>
    <w:p>
      <w:pPr>
        <w:spacing w:after="160"/>
      </w:pPr>
      <w:r>
        <w:t xml:space="preserve">Python 3 (Google Colab) · NumPy · pandas · matplotlib · seaborn · factor_analyzer · pingouin · girth</w:t>
      </w:r>
    </w:p>
    <w:p>
      <w:pPr>
        <w:pStyle w:val="Heading2"/>
      </w:pPr>
      <w:r>
        <w:t xml:space="preserve">Findings (Actual Results from Notebook Execution)</w:t>
      </w:r>
    </w:p>
    <w:p>
      <w:pPr>
        <w:spacing w:after="160"/>
      </w:pPr>
      <w:r>
        <w:rPr>
          <w:b/>
          <w:bCs/>
        </w:rPr>
        <w:t xml:space="preserve">Sample: 500 simulated respondents · 20 items · 5 subscales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Result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Overall Cronbach's alpha (20 items)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0.837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Self-Awareness subscale alpha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0.801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Empathy subscale alpha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0.775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Resilience subscale alpha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0.807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Collaboration subscale alpha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0.795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Emotional Regulation subscale alpha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0.826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Items flagged for weak item-total correlation (&lt;0.30)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 of 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Bartlett's test of sphericity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χ² = 3361.3, p &lt; 0.0001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KMO sampling adequacy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0.843 ("great" — exceeds 0.80 threshold)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Factors retained by parallel analysis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(matches true simulated structure)</w:t>
            </w:r>
          </w:p>
        </w:tc>
      </w:tr>
    </w:tbl>
    <w:p>
      <w:pPr>
        <w:spacing w:after="160"/>
      </w:pPr>
      <w:r>
        <w:t xml:space="preserve"> </w:t>
      </w:r>
    </w:p>
    <w:p>
      <w:pPr>
        <w:spacing w:after="160"/>
      </w:pPr>
      <w:r>
        <w:rPr>
          <w:b/>
          <w:bCs/>
        </w:rPr>
        <w:t xml:space="preserve">IRT (Graded Response Model) — fitted on Resilience subscale (4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Item</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Discrimination (a)</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Difficulty thresholds (b)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RES_1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1.478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-2.586, -1.029, 0.000, 1.029, 2.586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RES_2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1.985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-2.219, -0.894, 0.000, 0.894, 2.218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RES_3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2.406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-2.054, -0.833, 0.000, 0.833, 2.054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RES_4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-2.199, -0.887, 0.000, 0.887, 2.199</w:t>
            </w:r>
          </w:p>
        </w:tc>
      </w:tr>
    </w:tbl>
    <w:p>
      <w:pPr>
        <w:spacing w:after="200" w:before="120"/>
      </w:pPr>
      <w:r>
        <w:rPr>
          <w:i/>
          <w:iCs/>
          <w:color w:val="555555"/>
          <w:sz w:val="20"/>
          <w:szCs w:val="20"/>
        </w:rPr>
        <w:t xml:space="preserve">All four Resilience items showed strong discrimination (a &gt; 1.4, with three items above 1.9), meaning they differentiate well between respondents at different trait levels. Threshold spacing is symmetric and well-ordered, consistent with a well-functioning 5-category item.</w:t>
      </w:r>
    </w:p>
    <w:p>
      <w:pPr>
        <w:pStyle w:val="Heading2"/>
      </w:pPr>
      <w:r>
        <w:t xml:space="preserve">Conclusion</w:t>
      </w:r>
    </w:p>
    <w:p>
      <w:pPr>
        <w:spacing w:after="160"/>
      </w:pPr>
      <w:r>
        <w:t xml:space="preserve">The scale demonstrated good-to-very-good internal consistency across all five subscales (alpha range 0.775-0.837), with no items flagged for weak discrimination. Sampling adequacy was excellent (KMO = 0.843, Bartlett's p &lt; 0.0001), and parallel analysis correctly recovered the intended five-factor structure, confirming the analysis pipeline performs as expected. The IRT analysis further showed that the Resilience subscale's items discriminate strongly across the latent trait range. Together, these results validate the scale as a sound multidimensional SEL measure and confirm that the full validation workflow — CTT, reliability, EFA, and IRT — was implemented and executed correctly end-to-end.</w:t>
      </w:r>
    </w:p>
    <w:p>
      <w:pPr>
        <w:pBdr>
          <w:bottom w:val="single" w:color="2E75B6" w:sz="6" w:space="1"/>
        </w:pBdr>
        <w:spacing w:after="200" w:before="100"/>
      </w:pPr>
    </w:p>
    <w:p>
      <w:pPr>
        <w:spacing w:after="200" w:before="120"/>
      </w:pPr>
      <w:r>
        <w:rPr>
          <w:i/>
          <w:iCs/>
          <w:color w:val="555555"/>
          <w:sz w:val="20"/>
          <w:szCs w:val="20"/>
        </w:rPr>
        <w:t xml:space="preserve">Note: results were generated on simulated item-response data with documented, known parameters — a standard technique for validating psychometric methods before applying them to real instruments. See project notebook for instructions on substituting real scale data.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8"/>
        <w:szCs w:val="18"/>
      </w:rPr>
      <w:t xml:space="preserve">Project 1 Report — SEL Scale Psychometric Validation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Arial" w:cs="Arial" w:eastAsia="Arial" w:hAnsi="Arial"/>
      <w:b/>
      <w:bCs/>
      <w:color w:val="1F4E79"/>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2026-06-21T06:49:48.155Z</dcterms:created>
  <dcterms:modified xsi:type="dcterms:W3CDTF">2026-06-21T06:49:48.167Z</dcterms:modified>
</cp:coreProperties>
</file>

<file path=docProps/custom.xml><?xml version="1.0" encoding="utf-8"?>
<Properties xmlns="http://schemas.openxmlformats.org/officeDocument/2006/custom-properties" xmlns:vt="http://schemas.openxmlformats.org/officeDocument/2006/docPropsVTypes"/>
</file>