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Project Report</w:t>
      </w:r>
    </w:p>
    <w:p>
      <w:pPr>
        <w:spacing w:after="60"/>
      </w:pPr>
      <w:r>
        <w:rPr>
          <w:b/>
          <w:bCs/>
          <w:color w:val="2E75B6"/>
          <w:sz w:val="26"/>
          <w:szCs w:val="26"/>
        </w:rPr>
        <w:t xml:space="preserve">Sampling Plan Design &amp; Automated Statistical Reporting Pipeline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A Social Welfare Beneficiary Survey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Aim</w:t>
      </w:r>
    </w:p>
    <w:p>
      <w:pPr>
        <w:spacing w:after="160"/>
      </w:pPr>
      <w:r>
        <w:t xml:space="preserve">To design a defensible sampling plan for a social-sector survey and build an automated pipeline that cleans, analyses, and reports on the resulting data — replicating the full statistical workflow behind a welfare-scheme evaluation study, from sample size calculation through to a written findings summary.</w:t>
      </w:r>
    </w:p>
    <w:p>
      <w:pPr>
        <w:pStyle w:val="Heading2"/>
      </w:pPr>
      <w:r>
        <w:t xml:space="preserve">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reusable sample-size calculator for estimating a population proportion, incorporating finite population correction, a design effect for clustering, and a non-response adjustment.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it to a worked example: sizing a survey of an estimated 2,50,000 eligible beneficiaries across 5 states, then proportionally allocating the resulting sample across states (stratified sampling).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Simulated a beneficiary-level survey dataset (2,000 respondents) with realistic, documented relationships — e.g. benefit receipt depends on scheme awareness — and deliberately injected missing income data to exercise the cleaning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data-cleaning function: missing-value reporting, category-level median imputation, and IQR-based outlier flagging.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 descriptive cross-tabulations, a chi-square test of independence (category vs. benefit receipt), and a logistic regression to identify predictors of benefit receipt.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Auto-generated charts and a written technical summary report compiled directly from the computed statistics.</w:t>
      </w:r>
    </w:p>
    <w:p>
      <w:pPr>
        <w:pStyle w:val="Heading2"/>
      </w:pPr>
      <w:r>
        <w:t xml:space="preserve">Libraries &amp; Tools Used</w:t>
      </w:r>
    </w:p>
    <w:p>
      <w:pPr>
        <w:spacing w:after="160"/>
      </w:pPr>
      <w:r>
        <w:t xml:space="preserve">Python 3 (Google Colab) · NumPy · pandas · SciPy · statsmodels · matplotlib · seaborn</w:t>
      </w:r>
    </w:p>
    <w:p>
      <w:pPr>
        <w:pStyle w:val="Heading2"/>
      </w:pPr>
      <w:r>
        <w:t xml:space="preserve">Findings (Actual Results from Notebook Execution)</w:t>
      </w:r>
    </w:p>
    <w:p>
      <w:pPr>
        <w:spacing w:after="160"/>
      </w:pPr>
      <w:r>
        <w:rPr>
          <w:b/>
          <w:bCs/>
        </w:rPr>
        <w:t xml:space="preserve">Sampling plan (population = 2,50,000; 95% confidence; ±5% margin of error; design effect 1.5; 10% non-response):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Sample size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(simple random)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finite population correction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design effect (1.5×)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Final, after non-response adjustment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640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Stratified allocation across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Allocated sample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Survey data quality (n = 2,000 simulated respondents):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quality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income values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(3.0%) — imputed using category-level median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Income outliers flagged (IQR method)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 (1.7%)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Scheme awareness &amp; benefit receipt by social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Scheme Awareness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Benefit Received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36.6%</w:t>
            </w:r>
          </w:p>
        </w:tc>
      </w:tr>
    </w:tbl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Chi-square test (category vs. benefit receipt): χ²=20.36, df=3, p=0.0001 — statistically significant. Average satisfaction score: 2.48 (no benefit) vs. 3.95 (benefit received).</w:t>
      </w:r>
    </w:p>
    <w:p>
      <w:pPr>
        <w:spacing w:after="160"/>
      </w:pPr>
      <w:r>
        <w:rPr>
          <w:b/>
          <w:bCs/>
        </w:rPr>
        <w:t xml:space="preserve">Logistic regression — predictors of benefit receipt: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Coefficient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Significant (α=0.05)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-1.588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Category: OBC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Category: 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Category: 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-0.384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Gender: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Scheme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income (₹'000)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Model fit: Pseudo R² = 0.225 (statsmodels Logit, n=2,000). Scheme awareness was overwhelmingly the strongest and most significant predictor of benefit receipt; belonging to the ST category showed a borderline-significant negative association (p=0.050) even after controlling for awareness, age, gender, and income.</w:t>
      </w:r>
    </w:p>
    <w:p>
      <w:pPr>
        <w:pStyle w:val="Heading2"/>
      </w:pPr>
      <w:r>
        <w:t xml:space="preserve">Conclusion</w:t>
      </w:r>
    </w:p>
    <w:p>
      <w:pPr>
        <w:spacing w:after="160"/>
      </w:pPr>
      <w:r>
        <w:t xml:space="preserve">The required sample size for the illustrative study was 640 respondents, proportionally allocated across five states. In the simulated survey data, scheme awareness varied meaningfully by social category (45.7% among ST respondents vs. 65.4% among General category), and this gap carried through directly to benefit receipt (36.6% vs. 53.9% respectively) — a statistically significant association (p=0.0001). The logistic regression confirmed scheme awareness as the dominant predictor of benefit receipt (coefficient 2.50, p&lt;0.001), explaining most of the model's predictive power (pseudo R²=0.225), while ST category showed an independent, borderline-significant disadvantage even after controlling for awareness. This suggests outreach and awareness-building — not just scheme design — are a key lever for improving benefit delivery, with ST communities meriting particular attention. The sampling calculator and analysis pipeline are written as reusable functions, ready to apply to real survey data.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Note: beneficiary-level survey microdata is rarely public (privacy-restricted), so the survey dataset used here is simulated with documented, realistic assumptions; the sampling calculator (Part A) is fully real, reusable code. See project notebook for real data sources (data.gov.in, NFHS, UDISE+).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Project 2 Report — Sampling Plan &amp; Welfare Survey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2026-06-21T06:49:48.181Z</dcterms:created>
  <dcterms:modified xsi:type="dcterms:W3CDTF">2026-06-21T06:49:48.181Z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