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Report: Exploratory Data Analysis (EDA) on the Breast Cancer Dataset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Document Title:</w:t>
      </w:r>
      <w:r w:rsidDel="00000000" w:rsidR="00000000" w:rsidRPr="00000000">
        <w:rPr>
          <w:rFonts w:ascii="Google Sans" w:cs="Google Sans" w:eastAsia="Google Sans" w:hAnsi="Google Sans"/>
          <w:color w:val="1f1f1f"/>
          <w:rtl w:val="0"/>
        </w:rPr>
        <w:t xml:space="preserve"> Comprehensive EDA Implementation Guide and Analysis Report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documentation provides a comprehensive technical overview of the Python script designed to perform Exploratory Data Analysis (EDA) on the Breast Cancer dataset. The analysis covers data loading, data cleaning, descriptive statistics, visualization generation, feature engineering, and final analytical conclusions using libraries such as pandas, numpy, matplotlib, seaborn, and scikit-learn.</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Core Modules and Environment Setup</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implementation utilizes key data science libraries: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scikit-learn (load_breast_cancer)</w:t>
      </w:r>
      <w:r w:rsidDel="00000000" w:rsidR="00000000" w:rsidRPr="00000000">
        <w:rPr>
          <w:rFonts w:ascii="Google Sans" w:cs="Google Sans" w:eastAsia="Google Sans" w:hAnsi="Google Sans"/>
          <w:color w:val="1f1f1f"/>
          <w:rtl w:val="0"/>
        </w:rPr>
        <w:t xml:space="preserve">: Serves as the data provider for the breast cancer classification features and target variables.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pandas &amp; numpy</w:t>
      </w:r>
      <w:r w:rsidDel="00000000" w:rsidR="00000000" w:rsidRPr="00000000">
        <w:rPr>
          <w:rFonts w:ascii="Google Sans" w:cs="Google Sans" w:eastAsia="Google Sans" w:hAnsi="Google Sans"/>
          <w:color w:val="1f1f1f"/>
          <w:rtl w:val="0"/>
        </w:rPr>
        <w:t xml:space="preserve">: Handles tabular dataframe structures, shape validation, missing value identification, statistical computations, and feature transformations.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matplotlib &amp; seaborn</w:t>
      </w:r>
      <w:r w:rsidDel="00000000" w:rsidR="00000000" w:rsidRPr="00000000">
        <w:rPr>
          <w:rFonts w:ascii="Google Sans" w:cs="Google Sans" w:eastAsia="Google Sans" w:hAnsi="Google Sans"/>
          <w:color w:val="1f1f1f"/>
          <w:rtl w:val="0"/>
        </w:rPr>
        <w:t xml:space="preserve">: Powers visual analytics, generating count plots, scatter plots, box plots, and correlation heatmaps.</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Detailed Breakdown of Assignment Modules</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1: Data Loading and Exploration</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Functionality:</w:t>
      </w:r>
      <w:r w:rsidDel="00000000" w:rsidR="00000000" w:rsidRPr="00000000">
        <w:rPr>
          <w:rFonts w:ascii="Google Sans" w:cs="Google Sans" w:eastAsia="Google Sans" w:hAnsi="Google Sans"/>
          <w:color w:val="1f1f1f"/>
          <w:rtl w:val="0"/>
        </w:rPr>
        <w:t xml:space="preserve"> Loads the dataset into a Pandas DataFrame and appends the target classification column.</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Executions:</w:t>
      </w:r>
      <w:r w:rsidDel="00000000" w:rsidR="00000000" w:rsidRPr="00000000">
        <w:rPr>
          <w:rFonts w:ascii="Google Sans" w:cs="Google Sans" w:eastAsia="Google Sans" w:hAnsi="Google Sans"/>
          <w:color w:val="1f1f1f"/>
          <w:rtl w:val="0"/>
        </w:rPr>
        <w:t xml:space="preserve"> Displays the first five rows, lists available features, verifies dataset shape (rows and columns), checks column data types via info(), computes summary statistics (mean, median, standard deviation) for mean radius, and scans for missing values.</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2: Data Cleaning</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Functionality:</w:t>
      </w:r>
      <w:r w:rsidDel="00000000" w:rsidR="00000000" w:rsidRPr="00000000">
        <w:rPr>
          <w:rFonts w:ascii="Google Sans" w:cs="Google Sans" w:eastAsia="Google Sans" w:hAnsi="Google Sans"/>
          <w:color w:val="1f1f1f"/>
          <w:rtl w:val="0"/>
        </w:rPr>
        <w:t xml:space="preserve"> Evaluates dataset integrity and missing records.</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Executions:</w:t>
      </w:r>
      <w:r w:rsidDel="00000000" w:rsidR="00000000" w:rsidRPr="00000000">
        <w:rPr>
          <w:rFonts w:ascii="Google Sans" w:cs="Google Sans" w:eastAsia="Google Sans" w:hAnsi="Google Sans"/>
          <w:color w:val="1f1f1f"/>
          <w:rtl w:val="0"/>
        </w:rPr>
        <w:t xml:space="preserve"> Confirms zero missing values (requiring no imputation) and validates target variable labels (0 for malignant, 1 for benign).</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3: Descriptive Statistics</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Functionality:</w:t>
      </w:r>
      <w:r w:rsidDel="00000000" w:rsidR="00000000" w:rsidRPr="00000000">
        <w:rPr>
          <w:rFonts w:ascii="Google Sans" w:cs="Google Sans" w:eastAsia="Google Sans" w:hAnsi="Google Sans"/>
          <w:color w:val="1f1f1f"/>
          <w:rtl w:val="0"/>
        </w:rPr>
        <w:t xml:space="preserve"> Analyzes central tendencies and dispersions for specific morphological features.</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Executions:</w:t>
      </w:r>
      <w:r w:rsidDel="00000000" w:rsidR="00000000" w:rsidRPr="00000000">
        <w:rPr>
          <w:rFonts w:ascii="Google Sans" w:cs="Google Sans" w:eastAsia="Google Sans" w:hAnsi="Google Sans"/>
          <w:color w:val="1f1f1f"/>
          <w:rtl w:val="0"/>
        </w:rPr>
        <w:t xml:space="preserve"> Calculates mean, median, and standard deviation for mean area and mean compactness, analyzes box plot interquartile ranges (IQR) for mean texture, and groups data by the target variable to compare mean perimeter values between benign and malignant cases.</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4: Data Visualization</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Functionality:</w:t>
      </w:r>
      <w:r w:rsidDel="00000000" w:rsidR="00000000" w:rsidRPr="00000000">
        <w:rPr>
          <w:rFonts w:ascii="Google Sans" w:cs="Google Sans" w:eastAsia="Google Sans" w:hAnsi="Google Sans"/>
          <w:color w:val="1f1f1f"/>
          <w:rtl w:val="0"/>
        </w:rPr>
        <w:t xml:space="preserve"> Translates numerical distributions into visual charts and saves them as artifact images.</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Executions:</w:t>
      </w:r>
    </w:p>
    <w:p w:rsidR="00000000" w:rsidDel="00000000" w:rsidP="00000000" w:rsidRDefault="00000000" w:rsidRPr="00000000" w14:paraId="00000018">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Generates a bar chart showing class distributions (benign_vs_malignant_counts.png).</w:t>
      </w:r>
    </w:p>
    <w:p w:rsidR="00000000" w:rsidDel="00000000" w:rsidP="00000000" w:rsidRDefault="00000000" w:rsidRPr="00000000" w14:paraId="00000019">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Creates a scatter plot visualizing the relationship between mean radius and mean texture grouped by target (radius_vs_texture_scatter.png).</w:t>
      </w:r>
    </w:p>
    <w:p w:rsidR="00000000" w:rsidDel="00000000" w:rsidP="00000000" w:rsidRDefault="00000000" w:rsidRPr="00000000" w14:paraId="0000001A">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Produces a box plot for mean texture (mean_texture_boxplot.png).</w:t>
      </w:r>
    </w:p>
    <w:p w:rsidR="00000000" w:rsidDel="00000000" w:rsidP="00000000" w:rsidRDefault="00000000" w:rsidRPr="00000000" w14:paraId="0000001B">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Computes and visualizes the correlation matrix heatmap across all features (correlation_heatmap.png).</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5: Feature Engineering</w:t>
      </w:r>
    </w:p>
    <w:p w:rsidR="00000000" w:rsidDel="00000000" w:rsidP="00000000" w:rsidRDefault="00000000" w:rsidRPr="00000000" w14:paraId="0000001D">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Functionality:</w:t>
      </w:r>
      <w:r w:rsidDel="00000000" w:rsidR="00000000" w:rsidRPr="00000000">
        <w:rPr>
          <w:rFonts w:ascii="Google Sans" w:cs="Google Sans" w:eastAsia="Google Sans" w:hAnsi="Google Sans"/>
          <w:color w:val="1f1f1f"/>
          <w:rtl w:val="0"/>
        </w:rPr>
        <w:t xml:space="preserve"> Derives new features to enhance model separability.</w:t>
      </w:r>
    </w:p>
    <w:p w:rsidR="00000000" w:rsidDel="00000000" w:rsidP="00000000" w:rsidRDefault="00000000" w:rsidRPr="00000000" w14:paraId="0000001E">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Executions:</w:t>
      </w:r>
    </w:p>
    <w:p w:rsidR="00000000" w:rsidDel="00000000" w:rsidP="00000000" w:rsidRDefault="00000000" w:rsidRPr="00000000" w14:paraId="0000001F">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Constructs area_to_perimeter_ratio by dividing mean area by mean perimeter.</w:t>
      </w:r>
    </w:p>
    <w:p w:rsidR="00000000" w:rsidDel="00000000" w:rsidP="00000000" w:rsidRDefault="00000000" w:rsidRPr="00000000" w14:paraId="00000020">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Creates radius_to_texture_ratio to explore additional predictive dimensions and analyzes how these ratios differ across benign and malignant categories.</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6: Conclusion and Summary</w:t>
      </w:r>
    </w:p>
    <w:p w:rsidR="00000000" w:rsidDel="00000000" w:rsidP="00000000" w:rsidRDefault="00000000" w:rsidRPr="00000000" w14:paraId="00000022">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Functionality:</w:t>
      </w:r>
      <w:r w:rsidDel="00000000" w:rsidR="00000000" w:rsidRPr="00000000">
        <w:rPr>
          <w:rFonts w:ascii="Google Sans" w:cs="Google Sans" w:eastAsia="Google Sans" w:hAnsi="Google Sans"/>
          <w:color w:val="1f1f1f"/>
          <w:rtl w:val="0"/>
        </w:rPr>
        <w:t xml:space="preserve"> Synthesizes observations to guide subsequent machine learning tasks.</w:t>
      </w:r>
    </w:p>
    <w:p w:rsidR="00000000" w:rsidDel="00000000" w:rsidP="00000000" w:rsidRDefault="00000000" w:rsidRPr="00000000" w14:paraId="00000023">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Executions:</w:t>
      </w:r>
      <w:r w:rsidDel="00000000" w:rsidR="00000000" w:rsidRPr="00000000">
        <w:rPr>
          <w:rFonts w:ascii="Google Sans" w:cs="Google Sans" w:eastAsia="Google Sans" w:hAnsi="Google Sans"/>
          <w:color w:val="1f1f1f"/>
          <w:rtl w:val="0"/>
        </w:rPr>
        <w:t xml:space="preserve"> Summarizes key findings regarding size-related features (radius, perimeter, area) as primary indicators, and recommends standardizing data scales before implementing classification models like Logistic Regression, Random Forest, or SVM.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