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Data Dictionary Admin App</w:t>
      </w:r>
    </w:p>
    <w:p>
      <w:pPr>
        <w:jc w:val="center"/>
      </w:pPr>
      <w:r>
        <w:rPr>
          <w:color w:val="595959"/>
          <w:sz w:val="28"/>
        </w:rPr>
        <w:t>Tool Explanation and End-to-End Flow</w:t>
      </w:r>
    </w:p>
    <w:p>
      <w:pPr>
        <w:jc w:val="center"/>
      </w:pPr>
      <w:r>
        <w:rPr>
          <w:color w:val="595959"/>
          <w:sz w:val="20"/>
        </w:rPr>
        <w:t>Streamlit UI | FastAPI Swagger APIs | SQL Server PRJ_DB | Internal S3 Export</w:t>
      </w:r>
    </w:p>
    <w:p>
      <w:pPr>
        <w:pStyle w:val="Heading1"/>
      </w:pPr>
      <w:r>
        <w:t>1. Tool Overview</w:t>
      </w:r>
    </w:p>
    <w:p>
      <w:r>
        <w:t>The Data Dictionary Admin App is an internal enterprise utility for managing PRJ Data Dictionary attributes in a controlled, role-based, and audit-enabled manner. The tool allows users to view, filter, create, edit, soft delete, reactivate, audit, and export data dictionary records without directly accessing SQL Server tables.</w:t>
      </w:r>
    </w:p>
    <w:p>
      <w:r>
        <w:t>The application uses a Streamlit-based user interface, FastAPI Swagger APIs, Python business services, SQLAlchemy repositories, SQL Server PRJ_DB, and an internal S3-compatible bucket for downstream extracts.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r/>
            <w:r>
              <w:rPr>
                <w:rFonts w:ascii="Arial" w:hAnsi="Arial" w:eastAsia="Arial"/>
                <w:b/>
                <w:color w:val="FFFFFF"/>
                <w:sz w:val="18"/>
              </w:rPr>
              <w:t>Component</w:t>
            </w:r>
          </w:p>
        </w:tc>
        <w:tc>
          <w:tcPr>
            <w:tcW w:type="dxa" w:w="6048"/>
            <w:shd w:fill="1F4E79"/>
            <w:vAlign w:val="center"/>
          </w:tcPr>
          <w:p>
            <w:r/>
            <w:r>
              <w:rPr>
                <w:rFonts w:ascii="Arial" w:hAnsi="Arial" w:eastAsia="Arial"/>
                <w:b/>
                <w:color w:val="FFFFFF"/>
                <w:sz w:val="18"/>
              </w:rPr>
              <w:t>Purpose</w:t>
            </w:r>
          </w:p>
        </w:tc>
        <w:tc>
          <w:tcPr>
            <w:tcW w:type="dxa" w:w="3024"/>
            <w:shd w:fill="1F4E79"/>
            <w:vAlign w:val="center"/>
          </w:tcPr>
          <w:p>
            <w:r/>
            <w:r>
              <w:rPr>
                <w:rFonts w:ascii="Arial" w:hAnsi="Arial" w:eastAsia="Arial"/>
                <w:b/>
                <w:color w:val="FFFFFF"/>
                <w:sz w:val="18"/>
              </w:rPr>
              <w:t>Runtime / Storage</w:t>
            </w:r>
          </w:p>
        </w:tc>
      </w:tr>
      <w:tr>
        <w:tc>
          <w:tcPr>
            <w:tcW w:type="dxa" w:w="2304"/>
            <w:vAlign w:val="center"/>
          </w:tcPr>
          <w:p>
            <w:r/>
            <w:r>
              <w:rPr>
                <w:rFonts w:ascii="Arial" w:hAnsi="Arial" w:eastAsia="Arial"/>
                <w:b w:val="0"/>
                <w:color w:val="000000"/>
                <w:sz w:val="18"/>
              </w:rPr>
              <w:t>Streamlit UI</w:t>
            </w:r>
          </w:p>
        </w:tc>
        <w:tc>
          <w:tcPr>
            <w:tcW w:type="dxa" w:w="6048"/>
            <w:vAlign w:val="center"/>
          </w:tcPr>
          <w:p>
            <w:r/>
            <w:r>
              <w:rPr>
                <w:rFonts w:ascii="Arial" w:hAnsi="Arial" w:eastAsia="Arial"/>
                <w:b w:val="0"/>
                <w:color w:val="000000"/>
                <w:sz w:val="18"/>
              </w:rPr>
              <w:t>Business-facing user interface for filtering, viewing, editing, and exporting data.</w:t>
            </w:r>
          </w:p>
        </w:tc>
        <w:tc>
          <w:tcPr>
            <w:tcW w:type="dxa" w:w="3024"/>
            <w:vAlign w:val="center"/>
          </w:tcPr>
          <w:p>
            <w:r/>
            <w:r>
              <w:rPr>
                <w:rFonts w:ascii="Arial" w:hAnsi="Arial" w:eastAsia="Arial"/>
                <w:b w:val="0"/>
                <w:color w:val="000000"/>
                <w:sz w:val="18"/>
              </w:rPr>
              <w:t>http://localhost:8501</w:t>
            </w:r>
          </w:p>
        </w:tc>
      </w:tr>
      <w:tr>
        <w:tc>
          <w:tcPr>
            <w:tcW w:type="dxa" w:w="2304"/>
            <w:vAlign w:val="center"/>
          </w:tcPr>
          <w:p>
            <w:r/>
            <w:r>
              <w:rPr>
                <w:rFonts w:ascii="Arial" w:hAnsi="Arial" w:eastAsia="Arial"/>
                <w:b w:val="0"/>
                <w:color w:val="000000"/>
                <w:sz w:val="18"/>
              </w:rPr>
              <w:t>FastAPI / Swagger API</w:t>
            </w:r>
          </w:p>
        </w:tc>
        <w:tc>
          <w:tcPr>
            <w:tcW w:type="dxa" w:w="6048"/>
            <w:vAlign w:val="center"/>
          </w:tcPr>
          <w:p>
            <w:r/>
            <w:r>
              <w:rPr>
                <w:rFonts w:ascii="Arial" w:hAnsi="Arial" w:eastAsia="Arial"/>
                <w:b w:val="0"/>
                <w:color w:val="000000"/>
                <w:sz w:val="18"/>
              </w:rPr>
              <w:t>Backend APIs for filters, CRUD operations, audit search, and integration.</w:t>
            </w:r>
          </w:p>
        </w:tc>
        <w:tc>
          <w:tcPr>
            <w:tcW w:type="dxa" w:w="3024"/>
            <w:vAlign w:val="center"/>
          </w:tcPr>
          <w:p>
            <w:r/>
            <w:r>
              <w:rPr>
                <w:rFonts w:ascii="Arial" w:hAnsi="Arial" w:eastAsia="Arial"/>
                <w:b w:val="0"/>
                <w:color w:val="000000"/>
                <w:sz w:val="18"/>
              </w:rPr>
              <w:t>http://localhost:8502/docs</w:t>
            </w:r>
          </w:p>
        </w:tc>
      </w:tr>
      <w:tr>
        <w:tc>
          <w:tcPr>
            <w:tcW w:type="dxa" w:w="2304"/>
            <w:vAlign w:val="center"/>
          </w:tcPr>
          <w:p>
            <w:r/>
            <w:r>
              <w:rPr>
                <w:rFonts w:ascii="Arial" w:hAnsi="Arial" w:eastAsia="Arial"/>
                <w:b w:val="0"/>
                <w:color w:val="000000"/>
                <w:sz w:val="18"/>
              </w:rPr>
              <w:t>SQL Server PRJ_DB</w:t>
            </w:r>
          </w:p>
        </w:tc>
        <w:tc>
          <w:tcPr>
            <w:tcW w:type="dxa" w:w="6048"/>
            <w:vAlign w:val="center"/>
          </w:tcPr>
          <w:p>
            <w:r/>
            <w:r>
              <w:rPr>
                <w:rFonts w:ascii="Arial" w:hAnsi="Arial" w:eastAsia="Arial"/>
                <w:b w:val="0"/>
                <w:color w:val="000000"/>
                <w:sz w:val="18"/>
              </w:rPr>
              <w:t>Primary data store for master, target, audit, history, and prompt tables.</w:t>
            </w:r>
          </w:p>
        </w:tc>
        <w:tc>
          <w:tcPr>
            <w:tcW w:type="dxa" w:w="3024"/>
            <w:vAlign w:val="center"/>
          </w:tcPr>
          <w:p>
            <w:r/>
            <w:r>
              <w:rPr>
                <w:rFonts w:ascii="Arial" w:hAnsi="Arial" w:eastAsia="Arial"/>
                <w:b w:val="0"/>
                <w:color w:val="000000"/>
                <w:sz w:val="18"/>
              </w:rPr>
              <w:t>SQL Server</w:t>
            </w:r>
          </w:p>
        </w:tc>
      </w:tr>
      <w:tr>
        <w:tc>
          <w:tcPr>
            <w:tcW w:type="dxa" w:w="2304"/>
            <w:vAlign w:val="center"/>
          </w:tcPr>
          <w:p>
            <w:r/>
            <w:r>
              <w:rPr>
                <w:rFonts w:ascii="Arial" w:hAnsi="Arial" w:eastAsia="Arial"/>
                <w:b w:val="0"/>
                <w:color w:val="000000"/>
                <w:sz w:val="18"/>
              </w:rPr>
              <w:t>Internal S3-Compatible Bucket</w:t>
            </w:r>
          </w:p>
        </w:tc>
        <w:tc>
          <w:tcPr>
            <w:tcW w:type="dxa" w:w="6048"/>
            <w:vAlign w:val="center"/>
          </w:tcPr>
          <w:p>
            <w:r/>
            <w:r>
              <w:rPr>
                <w:rFonts w:ascii="Arial" w:hAnsi="Arial" w:eastAsia="Arial"/>
                <w:b w:val="0"/>
                <w:color w:val="000000"/>
                <w:sz w:val="18"/>
              </w:rPr>
              <w:t>Stores timestamped CSV extracts from latest active database records.</w:t>
            </w:r>
          </w:p>
        </w:tc>
        <w:tc>
          <w:tcPr>
            <w:tcW w:type="dxa" w:w="3024"/>
            <w:vAlign w:val="center"/>
          </w:tcPr>
          <w:p>
            <w:r/>
            <w:r>
              <w:rPr>
                <w:rFonts w:ascii="Arial" w:hAnsi="Arial" w:eastAsia="Arial"/>
                <w:b w:val="0"/>
                <w:color w:val="000000"/>
                <w:sz w:val="18"/>
              </w:rPr>
              <w:t>Internal object storage</w:t>
            </w:r>
          </w:p>
        </w:tc>
      </w:tr>
    </w:tbl>
    <w:p/>
    <w:p>
      <w:pPr>
        <w:pStyle w:val="Heading1"/>
      </w:pPr>
      <w:r>
        <w:t>2. Purpose of the Tool</w:t>
      </w:r>
    </w:p>
    <w:p>
      <w:r>
        <w:t>The Data Dictionary is the central source of truth for PRJ attributes. These attributes are used across portfolios and downstream consumers such as Corporates, FI Banks, FI Insurance, and Zeus Downstream. The tool ensures data changes are controlled, traceable, and consistently written to master and target tables.</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rFonts w:ascii="Arial" w:hAnsi="Arial" w:eastAsia="Arial"/>
                <w:b/>
                <w:color w:val="FFFFFF"/>
                <w:sz w:val="18"/>
              </w:rPr>
              <w:t>Consumer / Portfolio</w:t>
            </w:r>
          </w:p>
        </w:tc>
        <w:tc>
          <w:tcPr>
            <w:tcW w:type="dxa" w:w="8208"/>
            <w:shd w:fill="1F4E79"/>
            <w:vAlign w:val="center"/>
          </w:tcPr>
          <w:p>
            <w:r/>
            <w:r>
              <w:rPr>
                <w:rFonts w:ascii="Arial" w:hAnsi="Arial" w:eastAsia="Arial"/>
                <w:b/>
                <w:color w:val="FFFFFF"/>
                <w:sz w:val="18"/>
              </w:rPr>
              <w:t>Purpose</w:t>
            </w:r>
          </w:p>
        </w:tc>
      </w:tr>
      <w:tr>
        <w:tc>
          <w:tcPr>
            <w:tcW w:type="dxa" w:w="3168"/>
            <w:vAlign w:val="center"/>
          </w:tcPr>
          <w:p>
            <w:r/>
            <w:r>
              <w:rPr>
                <w:rFonts w:ascii="Arial" w:hAnsi="Arial" w:eastAsia="Arial"/>
                <w:b w:val="0"/>
                <w:color w:val="000000"/>
                <w:sz w:val="18"/>
              </w:rPr>
              <w:t>Corporates</w:t>
            </w:r>
          </w:p>
        </w:tc>
        <w:tc>
          <w:tcPr>
            <w:tcW w:type="dxa" w:w="8208"/>
            <w:vAlign w:val="center"/>
          </w:tcPr>
          <w:p>
            <w:r/>
            <w:r>
              <w:rPr>
                <w:rFonts w:ascii="Arial" w:hAnsi="Arial" w:eastAsia="Arial"/>
                <w:b w:val="0"/>
                <w:color w:val="000000"/>
                <w:sz w:val="18"/>
              </w:rPr>
              <w:t>Attributes required for corporate financial statement data.</w:t>
            </w:r>
          </w:p>
        </w:tc>
      </w:tr>
      <w:tr>
        <w:tc>
          <w:tcPr>
            <w:tcW w:type="dxa" w:w="3168"/>
            <w:vAlign w:val="center"/>
          </w:tcPr>
          <w:p>
            <w:r/>
            <w:r>
              <w:rPr>
                <w:rFonts w:ascii="Arial" w:hAnsi="Arial" w:eastAsia="Arial"/>
                <w:b w:val="0"/>
                <w:color w:val="000000"/>
                <w:sz w:val="18"/>
              </w:rPr>
              <w:t>FI Banks</w:t>
            </w:r>
          </w:p>
        </w:tc>
        <w:tc>
          <w:tcPr>
            <w:tcW w:type="dxa" w:w="8208"/>
            <w:vAlign w:val="center"/>
          </w:tcPr>
          <w:p>
            <w:r/>
            <w:r>
              <w:rPr>
                <w:rFonts w:ascii="Arial" w:hAnsi="Arial" w:eastAsia="Arial"/>
                <w:b w:val="0"/>
                <w:color w:val="000000"/>
                <w:sz w:val="18"/>
              </w:rPr>
              <w:t>Attributes required for financial institution banking data.</w:t>
            </w:r>
          </w:p>
        </w:tc>
      </w:tr>
      <w:tr>
        <w:tc>
          <w:tcPr>
            <w:tcW w:type="dxa" w:w="3168"/>
            <w:vAlign w:val="center"/>
          </w:tcPr>
          <w:p>
            <w:r/>
            <w:r>
              <w:rPr>
                <w:rFonts w:ascii="Arial" w:hAnsi="Arial" w:eastAsia="Arial"/>
                <w:b w:val="0"/>
                <w:color w:val="000000"/>
                <w:sz w:val="18"/>
              </w:rPr>
              <w:t>FI Insurance</w:t>
            </w:r>
          </w:p>
        </w:tc>
        <w:tc>
          <w:tcPr>
            <w:tcW w:type="dxa" w:w="8208"/>
            <w:vAlign w:val="center"/>
          </w:tcPr>
          <w:p>
            <w:r/>
            <w:r>
              <w:rPr>
                <w:rFonts w:ascii="Arial" w:hAnsi="Arial" w:eastAsia="Arial"/>
                <w:b w:val="0"/>
                <w:color w:val="000000"/>
                <w:sz w:val="18"/>
              </w:rPr>
              <w:t>Attributes required for insurance financial data.</w:t>
            </w:r>
          </w:p>
        </w:tc>
      </w:tr>
      <w:tr>
        <w:tc>
          <w:tcPr>
            <w:tcW w:type="dxa" w:w="3168"/>
            <w:vAlign w:val="center"/>
          </w:tcPr>
          <w:p>
            <w:r/>
            <w:r>
              <w:rPr>
                <w:rFonts w:ascii="Arial" w:hAnsi="Arial" w:eastAsia="Arial"/>
                <w:b w:val="0"/>
                <w:color w:val="000000"/>
                <w:sz w:val="18"/>
              </w:rPr>
              <w:t>Zeus Downstream</w:t>
            </w:r>
          </w:p>
        </w:tc>
        <w:tc>
          <w:tcPr>
            <w:tcW w:type="dxa" w:w="8208"/>
            <w:vAlign w:val="center"/>
          </w:tcPr>
          <w:p>
            <w:r/>
            <w:r>
              <w:rPr>
                <w:rFonts w:ascii="Arial" w:hAnsi="Arial" w:eastAsia="Arial"/>
                <w:b w:val="0"/>
                <w:color w:val="000000"/>
                <w:sz w:val="18"/>
              </w:rPr>
              <w:t>Attributes required by Zeus downstream systems.</w:t>
            </w:r>
          </w:p>
        </w:tc>
      </w:tr>
    </w:tbl>
    <w:p/>
    <w:p>
      <w:pPr>
        <w:pStyle w:val="Heading1"/>
      </w:pPr>
      <w:r>
        <w:t>3. Key Capabilities</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rFonts w:ascii="Arial" w:hAnsi="Arial" w:eastAsia="Arial"/>
                <w:b/>
                <w:color w:val="FFFFFF"/>
                <w:sz w:val="18"/>
              </w:rPr>
              <w:t>Capability</w:t>
            </w:r>
          </w:p>
        </w:tc>
        <w:tc>
          <w:tcPr>
            <w:tcW w:type="dxa" w:w="8208"/>
            <w:shd w:fill="1F4E79"/>
            <w:vAlign w:val="center"/>
          </w:tcPr>
          <w:p>
            <w:r/>
            <w:r>
              <w:rPr>
                <w:rFonts w:ascii="Arial" w:hAnsi="Arial" w:eastAsia="Arial"/>
                <w:b/>
                <w:color w:val="FFFFFF"/>
                <w:sz w:val="18"/>
              </w:rPr>
              <w:t>Description</w:t>
            </w:r>
          </w:p>
        </w:tc>
      </w:tr>
      <w:tr>
        <w:tc>
          <w:tcPr>
            <w:tcW w:type="dxa" w:w="3168"/>
            <w:vAlign w:val="center"/>
          </w:tcPr>
          <w:p>
            <w:r/>
            <w:r>
              <w:rPr>
                <w:rFonts w:ascii="Arial" w:hAnsi="Arial" w:eastAsia="Arial"/>
                <w:b w:val="0"/>
                <w:color w:val="000000"/>
                <w:sz w:val="18"/>
              </w:rPr>
              <w:t>View Data Dictionary</w:t>
            </w:r>
          </w:p>
        </w:tc>
        <w:tc>
          <w:tcPr>
            <w:tcW w:type="dxa" w:w="8208"/>
            <w:vAlign w:val="center"/>
          </w:tcPr>
          <w:p>
            <w:r/>
            <w:r>
              <w:rPr>
                <w:rFonts w:ascii="Arial" w:hAnsi="Arial" w:eastAsia="Arial"/>
                <w:b w:val="0"/>
                <w:color w:val="000000"/>
                <w:sz w:val="18"/>
              </w:rPr>
              <w:t>View active Data Dictionary records in a searchable and filterable grid.</w:t>
            </w:r>
          </w:p>
        </w:tc>
      </w:tr>
      <w:tr>
        <w:tc>
          <w:tcPr>
            <w:tcW w:type="dxa" w:w="3168"/>
            <w:vAlign w:val="center"/>
          </w:tcPr>
          <w:p>
            <w:r/>
            <w:r>
              <w:rPr>
                <w:rFonts w:ascii="Arial" w:hAnsi="Arial" w:eastAsia="Arial"/>
                <w:b w:val="0"/>
                <w:color w:val="000000"/>
                <w:sz w:val="18"/>
              </w:rPr>
              <w:t>Apply Filters</w:t>
            </w:r>
          </w:p>
        </w:tc>
        <w:tc>
          <w:tcPr>
            <w:tcW w:type="dxa" w:w="8208"/>
            <w:vAlign w:val="center"/>
          </w:tcPr>
          <w:p>
            <w:r/>
            <w:r>
              <w:rPr>
                <w:rFonts w:ascii="Arial" w:hAnsi="Arial" w:eastAsia="Arial"/>
                <w:b w:val="0"/>
                <w:color w:val="000000"/>
                <w:sz w:val="18"/>
              </w:rPr>
              <w:t>Filter records by portfolio, PRJ_ID, attribute name, description, section, and overlapped attributes.</w:t>
            </w:r>
          </w:p>
        </w:tc>
      </w:tr>
      <w:tr>
        <w:tc>
          <w:tcPr>
            <w:tcW w:type="dxa" w:w="3168"/>
            <w:vAlign w:val="center"/>
          </w:tcPr>
          <w:p>
            <w:r/>
            <w:r>
              <w:rPr>
                <w:rFonts w:ascii="Arial" w:hAnsi="Arial" w:eastAsia="Arial"/>
                <w:b w:val="0"/>
                <w:color w:val="000000"/>
                <w:sz w:val="18"/>
              </w:rPr>
              <w:t>Add New Attribute</w:t>
            </w:r>
          </w:p>
        </w:tc>
        <w:tc>
          <w:tcPr>
            <w:tcW w:type="dxa" w:w="8208"/>
            <w:vAlign w:val="center"/>
          </w:tcPr>
          <w:p>
            <w:r/>
            <w:r>
              <w:rPr>
                <w:rFonts w:ascii="Arial" w:hAnsi="Arial" w:eastAsia="Arial"/>
                <w:b w:val="0"/>
                <w:color w:val="000000"/>
                <w:sz w:val="18"/>
              </w:rPr>
              <w:t>Admin users can create new PRJ attributes through a popup form.</w:t>
            </w:r>
          </w:p>
        </w:tc>
      </w:tr>
      <w:tr>
        <w:tc>
          <w:tcPr>
            <w:tcW w:type="dxa" w:w="3168"/>
            <w:vAlign w:val="center"/>
          </w:tcPr>
          <w:p>
            <w:r/>
            <w:r>
              <w:rPr>
                <w:rFonts w:ascii="Arial" w:hAnsi="Arial" w:eastAsia="Arial"/>
                <w:b w:val="0"/>
                <w:color w:val="000000"/>
                <w:sz w:val="18"/>
              </w:rPr>
              <w:t>Edit Attribute</w:t>
            </w:r>
          </w:p>
        </w:tc>
        <w:tc>
          <w:tcPr>
            <w:tcW w:type="dxa" w:w="8208"/>
            <w:vAlign w:val="center"/>
          </w:tcPr>
          <w:p>
            <w:r/>
            <w:r>
              <w:rPr>
                <w:rFonts w:ascii="Arial" w:hAnsi="Arial" w:eastAsia="Arial"/>
                <w:b w:val="0"/>
                <w:color w:val="000000"/>
                <w:sz w:val="18"/>
              </w:rPr>
              <w:t>Admin users can edit selected records. Edit forms open as read-only first and PRJ_ID remains non-editable.</w:t>
            </w:r>
          </w:p>
        </w:tc>
      </w:tr>
      <w:tr>
        <w:tc>
          <w:tcPr>
            <w:tcW w:type="dxa" w:w="3168"/>
            <w:vAlign w:val="center"/>
          </w:tcPr>
          <w:p>
            <w:r/>
            <w:r>
              <w:rPr>
                <w:rFonts w:ascii="Arial" w:hAnsi="Arial" w:eastAsia="Arial"/>
                <w:b w:val="0"/>
                <w:color w:val="000000"/>
                <w:sz w:val="18"/>
              </w:rPr>
              <w:t>Soft Delete</w:t>
            </w:r>
          </w:p>
        </w:tc>
        <w:tc>
          <w:tcPr>
            <w:tcW w:type="dxa" w:w="8208"/>
            <w:vAlign w:val="center"/>
          </w:tcPr>
          <w:p>
            <w:r/>
            <w:r>
              <w:rPr>
                <w:rFonts w:ascii="Arial" w:hAnsi="Arial" w:eastAsia="Arial"/>
                <w:b w:val="0"/>
                <w:color w:val="000000"/>
                <w:sz w:val="18"/>
              </w:rPr>
              <w:t>Admin users can mark records inactive without physically deleting them.</w:t>
            </w:r>
          </w:p>
        </w:tc>
      </w:tr>
      <w:tr>
        <w:tc>
          <w:tcPr>
            <w:tcW w:type="dxa" w:w="3168"/>
            <w:vAlign w:val="center"/>
          </w:tcPr>
          <w:p>
            <w:r/>
            <w:r>
              <w:rPr>
                <w:rFonts w:ascii="Arial" w:hAnsi="Arial" w:eastAsia="Arial"/>
                <w:b w:val="0"/>
                <w:color w:val="000000"/>
                <w:sz w:val="18"/>
              </w:rPr>
              <w:t>Reactivate Record</w:t>
            </w:r>
          </w:p>
        </w:tc>
        <w:tc>
          <w:tcPr>
            <w:tcW w:type="dxa" w:w="8208"/>
            <w:vAlign w:val="center"/>
          </w:tcPr>
          <w:p>
            <w:r/>
            <w:r>
              <w:rPr>
                <w:rFonts w:ascii="Arial" w:hAnsi="Arial" w:eastAsia="Arial"/>
                <w:b w:val="0"/>
                <w:color w:val="000000"/>
                <w:sz w:val="18"/>
              </w:rPr>
              <w:t>Admin users can reactivate previously soft-deleted records from the inactive grid.</w:t>
            </w:r>
          </w:p>
        </w:tc>
      </w:tr>
      <w:tr>
        <w:tc>
          <w:tcPr>
            <w:tcW w:type="dxa" w:w="3168"/>
            <w:vAlign w:val="center"/>
          </w:tcPr>
          <w:p>
            <w:r/>
            <w:r>
              <w:rPr>
                <w:rFonts w:ascii="Arial" w:hAnsi="Arial" w:eastAsia="Arial"/>
                <w:b w:val="0"/>
                <w:color w:val="000000"/>
                <w:sz w:val="18"/>
              </w:rPr>
              <w:t>Audit History</w:t>
            </w:r>
          </w:p>
        </w:tc>
        <w:tc>
          <w:tcPr>
            <w:tcW w:type="dxa" w:w="8208"/>
            <w:vAlign w:val="center"/>
          </w:tcPr>
          <w:p>
            <w:r/>
            <w:r>
              <w:rPr>
                <w:rFonts w:ascii="Arial" w:hAnsi="Arial" w:eastAsia="Arial"/>
                <w:b w:val="0"/>
                <w:color w:val="000000"/>
                <w:sz w:val="18"/>
              </w:rPr>
              <w:t>Users can view who changed what, when, and from which module.</w:t>
            </w:r>
          </w:p>
        </w:tc>
      </w:tr>
      <w:tr>
        <w:tc>
          <w:tcPr>
            <w:tcW w:type="dxa" w:w="3168"/>
            <w:vAlign w:val="center"/>
          </w:tcPr>
          <w:p>
            <w:r/>
            <w:r>
              <w:rPr>
                <w:rFonts w:ascii="Arial" w:hAnsi="Arial" w:eastAsia="Arial"/>
                <w:b w:val="0"/>
                <w:color w:val="000000"/>
                <w:sz w:val="18"/>
              </w:rPr>
              <w:t>S3 Export</w:t>
            </w:r>
          </w:p>
        </w:tc>
        <w:tc>
          <w:tcPr>
            <w:tcW w:type="dxa" w:w="8208"/>
            <w:vAlign w:val="center"/>
          </w:tcPr>
          <w:p>
            <w:r/>
            <w:r>
              <w:rPr>
                <w:rFonts w:ascii="Arial" w:hAnsi="Arial" w:eastAsia="Arial"/>
                <w:b w:val="0"/>
                <w:color w:val="000000"/>
                <w:sz w:val="18"/>
              </w:rPr>
              <w:t>Admin users can export latest active data from four tables to the internal S3-compatible bucket.</w:t>
            </w:r>
          </w:p>
        </w:tc>
      </w:tr>
      <w:tr>
        <w:tc>
          <w:tcPr>
            <w:tcW w:type="dxa" w:w="3168"/>
            <w:vAlign w:val="center"/>
          </w:tcPr>
          <w:p>
            <w:r/>
            <w:r>
              <w:rPr>
                <w:rFonts w:ascii="Arial" w:hAnsi="Arial" w:eastAsia="Arial"/>
                <w:b w:val="0"/>
                <w:color w:val="000000"/>
                <w:sz w:val="18"/>
              </w:rPr>
              <w:t>Swagger APIs</w:t>
            </w:r>
          </w:p>
        </w:tc>
        <w:tc>
          <w:tcPr>
            <w:tcW w:type="dxa" w:w="8208"/>
            <w:vAlign w:val="center"/>
          </w:tcPr>
          <w:p>
            <w:r/>
            <w:r>
              <w:rPr>
                <w:rFonts w:ascii="Arial" w:hAnsi="Arial" w:eastAsia="Arial"/>
                <w:b w:val="0"/>
                <w:color w:val="000000"/>
                <w:sz w:val="18"/>
              </w:rPr>
              <w:t>Backend APIs are available for filters, CRUD, and audit operations.</w:t>
            </w:r>
          </w:p>
        </w:tc>
      </w:tr>
      <w:tr>
        <w:tc>
          <w:tcPr>
            <w:tcW w:type="dxa" w:w="3168"/>
            <w:vAlign w:val="center"/>
          </w:tcPr>
          <w:p>
            <w:r/>
            <w:r>
              <w:rPr>
                <w:rFonts w:ascii="Arial" w:hAnsi="Arial" w:eastAsia="Arial"/>
                <w:b w:val="0"/>
                <w:color w:val="000000"/>
                <w:sz w:val="18"/>
              </w:rPr>
              <w:t>Performance Cache</w:t>
            </w:r>
          </w:p>
        </w:tc>
        <w:tc>
          <w:tcPr>
            <w:tcW w:type="dxa" w:w="8208"/>
            <w:vAlign w:val="center"/>
          </w:tcPr>
          <w:p>
            <w:r/>
            <w:r>
              <w:rPr>
                <w:rFonts w:ascii="Arial" w:hAnsi="Arial" w:eastAsia="Arial"/>
                <w:b w:val="0"/>
                <w:color w:val="000000"/>
                <w:sz w:val="18"/>
              </w:rPr>
              <w:t>Session cache prevents unnecessary reloads and improves modal/grid responsiveness.</w:t>
            </w:r>
          </w:p>
        </w:tc>
      </w:tr>
    </w:tbl>
    <w:p/>
    <w:p>
      <w:pPr>
        <w:pStyle w:val="Heading1"/>
      </w:pPr>
      <w:r>
        <w:t>4. Application Architecture</w:t>
      </w:r>
    </w:p>
    <w:p>
      <w:r>
        <w:t>The application follows a layered architecture. Streamlit handles user interaction, FastAPI exposes service APIs, Python services manage business rules, repositories perform SQL Server operations, and database/S3 layers persist or publish the data.</w:t>
      </w:r>
    </w:p>
    <w:p>
      <w:pPr>
        <w:ind w:left="288"/>
      </w:pPr>
      <w:r>
        <w:rPr>
          <w:rFonts w:ascii="Consolas" w:hAnsi="Consolas" w:eastAsia="Consolas"/>
          <w:color w:val="1F1F1F"/>
          <w:sz w:val="18"/>
        </w:rPr>
        <w:t>User -&gt; Streamlit UI -&gt; FastAPI / Swagger APIs -&gt; Python Business Services -&gt; Repository Layer -&gt; SQL Server PRJ_DB -&gt; Internal S3 Bucket</w:t>
      </w:r>
    </w:p>
    <w:p>
      <w:pPr>
        <w:pStyle w:val="Heading1"/>
      </w:pPr>
      <w:r>
        <w:t>5. End-to-End Flowchart</w:t>
      </w:r>
    </w:p>
    <w:p>
      <w:pPr>
        <w:jc w:val="center"/>
      </w:pPr>
      <w:r>
        <w:drawing>
          <wp:inline xmlns:a="http://schemas.openxmlformats.org/drawingml/2006/main" xmlns:pic="http://schemas.openxmlformats.org/drawingml/2006/picture">
            <wp:extent cx="6492240" cy="5072062"/>
            <wp:docPr id="1" name="Picture 1"/>
            <wp:cNvGraphicFramePr>
              <a:graphicFrameLocks noChangeAspect="1"/>
            </wp:cNvGraphicFramePr>
            <a:graphic>
              <a:graphicData uri="http://schemas.openxmlformats.org/drawingml/2006/picture">
                <pic:pic>
                  <pic:nvPicPr>
                    <pic:cNvPr id="0" name="data_dictionary_project_flow.png"/>
                    <pic:cNvPicPr/>
                  </pic:nvPicPr>
                  <pic:blipFill>
                    <a:blip r:embed="rId9"/>
                    <a:stretch>
                      <a:fillRect/>
                    </a:stretch>
                  </pic:blipFill>
                  <pic:spPr>
                    <a:xfrm>
                      <a:off x="0" y="0"/>
                      <a:ext cx="6492240" cy="5072062"/>
                    </a:xfrm>
                    <a:prstGeom prst="rect"/>
                  </pic:spPr>
                </pic:pic>
              </a:graphicData>
            </a:graphic>
          </wp:inline>
        </w:drawing>
      </w:r>
    </w:p>
    <w:p>
      <w:pPr>
        <w:jc w:val="center"/>
      </w:pPr>
      <w:r>
        <w:rPr>
          <w:i/>
        </w:rPr>
        <w:t>Figure 1: Data Dictionary Admin App - End-to-End Flow</w:t>
      </w:r>
    </w:p>
    <w:p>
      <w:pPr>
        <w:pStyle w:val="Heading1"/>
      </w:pPr>
      <w:r>
        <w:t>6. Role-Based Access</w:t>
      </w:r>
    </w:p>
    <w:p>
      <w:r>
        <w:t>The application provides a Role dropdown in the sidebar. Admin users can perform controlled data changes and exports, while normal users are restricted to read and filter capabilities.</w:t>
      </w:r>
    </w:p>
    <w:tbl>
      <w:tblPr>
        <w:tblStyle w:val="TableGrid"/>
        <w:tblW w:type="auto" w:w="0"/>
        <w:jc w:val="center"/>
        <w:tblLook w:firstColumn="1" w:firstRow="1" w:lastColumn="0" w:lastRow="0" w:noHBand="0" w:noVBand="1" w:val="04A0"/>
      </w:tblPr>
      <w:tblGrid>
        <w:gridCol w:w="5112"/>
        <w:gridCol w:w="5112"/>
      </w:tblGrid>
      <w:tr>
        <w:tc>
          <w:tcPr>
            <w:tcW w:type="dxa" w:w="2160"/>
            <w:shd w:fill="1F4E79"/>
            <w:vAlign w:val="center"/>
          </w:tcPr>
          <w:p>
            <w:r/>
            <w:r>
              <w:rPr>
                <w:rFonts w:ascii="Arial" w:hAnsi="Arial" w:eastAsia="Arial"/>
                <w:b/>
                <w:color w:val="FFFFFF"/>
                <w:sz w:val="18"/>
              </w:rPr>
              <w:t>Role</w:t>
            </w:r>
          </w:p>
        </w:tc>
        <w:tc>
          <w:tcPr>
            <w:tcW w:type="dxa" w:w="9216"/>
            <w:shd w:fill="1F4E79"/>
            <w:vAlign w:val="center"/>
          </w:tcPr>
          <w:p>
            <w:r/>
            <w:r>
              <w:rPr>
                <w:rFonts w:ascii="Arial" w:hAnsi="Arial" w:eastAsia="Arial"/>
                <w:b/>
                <w:color w:val="FFFFFF"/>
                <w:sz w:val="18"/>
              </w:rPr>
              <w:t>Access</w:t>
            </w:r>
          </w:p>
        </w:tc>
      </w:tr>
      <w:tr>
        <w:tc>
          <w:tcPr>
            <w:tcW w:type="dxa" w:w="2160"/>
            <w:vAlign w:val="center"/>
          </w:tcPr>
          <w:p>
            <w:r/>
            <w:r>
              <w:rPr>
                <w:rFonts w:ascii="Arial" w:hAnsi="Arial" w:eastAsia="Arial"/>
                <w:b w:val="0"/>
                <w:color w:val="000000"/>
                <w:sz w:val="18"/>
              </w:rPr>
              <w:t>Admin</w:t>
            </w:r>
          </w:p>
        </w:tc>
        <w:tc>
          <w:tcPr>
            <w:tcW w:type="dxa" w:w="9216"/>
            <w:vAlign w:val="center"/>
          </w:tcPr>
          <w:p>
            <w:r/>
            <w:r>
              <w:rPr>
                <w:rFonts w:ascii="Arial" w:hAnsi="Arial" w:eastAsia="Arial"/>
                <w:b w:val="0"/>
                <w:color w:val="000000"/>
                <w:sz w:val="18"/>
              </w:rPr>
              <w:t>Can add, edit, soft delete, reactivate, upload documents, and export extracts to S3.</w:t>
            </w:r>
          </w:p>
        </w:tc>
      </w:tr>
      <w:tr>
        <w:tc>
          <w:tcPr>
            <w:tcW w:type="dxa" w:w="2160"/>
            <w:vAlign w:val="center"/>
          </w:tcPr>
          <w:p>
            <w:r/>
            <w:r>
              <w:rPr>
                <w:rFonts w:ascii="Arial" w:hAnsi="Arial" w:eastAsia="Arial"/>
                <w:b w:val="0"/>
                <w:color w:val="000000"/>
                <w:sz w:val="18"/>
              </w:rPr>
              <w:t>User</w:t>
            </w:r>
          </w:p>
        </w:tc>
        <w:tc>
          <w:tcPr>
            <w:tcW w:type="dxa" w:w="9216"/>
            <w:vAlign w:val="center"/>
          </w:tcPr>
          <w:p>
            <w:r/>
            <w:r>
              <w:rPr>
                <w:rFonts w:ascii="Arial" w:hAnsi="Arial" w:eastAsia="Arial"/>
                <w:b w:val="0"/>
                <w:color w:val="000000"/>
                <w:sz w:val="18"/>
              </w:rPr>
              <w:t>Can view and filter Data Dictionary records. Admin-only sections are hidden.</w:t>
            </w:r>
          </w:p>
        </w:tc>
      </w:tr>
    </w:tbl>
    <w:p/>
    <w:p>
      <w:pPr>
        <w:pStyle w:val="Heading1"/>
      </w:pPr>
      <w:r>
        <w:t>7. Data Dictionary Flow</w:t>
      </w:r>
    </w:p>
    <w:p>
      <w:r>
        <w:t>The Data Dictionary tab is the primary working area. Users apply filters and the Streamlit UI calls the FastAPI filter API. The API builds a SQLAlchemy query and fetches matching active records from SQL Server. Results are displayed in the Streamlit grid.</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rFonts w:ascii="Arial" w:hAnsi="Arial" w:eastAsia="Arial"/>
                <w:b/>
                <w:color w:val="FFFFFF"/>
                <w:sz w:val="18"/>
              </w:rPr>
              <w:t>Filter</w:t>
            </w:r>
          </w:p>
        </w:tc>
        <w:tc>
          <w:tcPr>
            <w:tcW w:type="dxa" w:w="8208"/>
            <w:shd w:fill="1F4E79"/>
            <w:vAlign w:val="center"/>
          </w:tcPr>
          <w:p>
            <w:r/>
            <w:r>
              <w:rPr>
                <w:rFonts w:ascii="Arial" w:hAnsi="Arial" w:eastAsia="Arial"/>
                <w:b/>
                <w:color w:val="FFFFFF"/>
                <w:sz w:val="18"/>
              </w:rPr>
              <w:t>Description</w:t>
            </w:r>
          </w:p>
        </w:tc>
      </w:tr>
      <w:tr>
        <w:tc>
          <w:tcPr>
            <w:tcW w:type="dxa" w:w="3168"/>
            <w:vAlign w:val="center"/>
          </w:tcPr>
          <w:p>
            <w:r/>
            <w:r>
              <w:rPr>
                <w:rFonts w:ascii="Arial" w:hAnsi="Arial" w:eastAsia="Arial"/>
                <w:b w:val="0"/>
                <w:color w:val="000000"/>
                <w:sz w:val="18"/>
              </w:rPr>
              <w:t>Portfolio</w:t>
            </w:r>
          </w:p>
        </w:tc>
        <w:tc>
          <w:tcPr>
            <w:tcW w:type="dxa" w:w="8208"/>
            <w:vAlign w:val="center"/>
          </w:tcPr>
          <w:p>
            <w:r/>
            <w:r>
              <w:rPr>
                <w:rFonts w:ascii="Arial" w:hAnsi="Arial" w:eastAsia="Arial"/>
                <w:b w:val="0"/>
                <w:color w:val="000000"/>
                <w:sz w:val="18"/>
              </w:rPr>
              <w:t>Corporates, FI Banks, FI Insurance, Zeus Downstream, ALL.</w:t>
            </w:r>
          </w:p>
        </w:tc>
      </w:tr>
      <w:tr>
        <w:tc>
          <w:tcPr>
            <w:tcW w:type="dxa" w:w="3168"/>
            <w:vAlign w:val="center"/>
          </w:tcPr>
          <w:p>
            <w:r/>
            <w:r>
              <w:rPr>
                <w:rFonts w:ascii="Arial" w:hAnsi="Arial" w:eastAsia="Arial"/>
                <w:b w:val="0"/>
                <w:color w:val="000000"/>
                <w:sz w:val="18"/>
              </w:rPr>
              <w:t>PRJ_ID</w:t>
            </w:r>
          </w:p>
        </w:tc>
        <w:tc>
          <w:tcPr>
            <w:tcW w:type="dxa" w:w="8208"/>
            <w:vAlign w:val="center"/>
          </w:tcPr>
          <w:p>
            <w:r/>
            <w:r>
              <w:rPr>
                <w:rFonts w:ascii="Arial" w:hAnsi="Arial" w:eastAsia="Arial"/>
                <w:b w:val="0"/>
                <w:color w:val="000000"/>
                <w:sz w:val="18"/>
              </w:rPr>
              <w:t>Searches records by PRJ ID.</w:t>
            </w:r>
          </w:p>
        </w:tc>
      </w:tr>
      <w:tr>
        <w:tc>
          <w:tcPr>
            <w:tcW w:type="dxa" w:w="3168"/>
            <w:vAlign w:val="center"/>
          </w:tcPr>
          <w:p>
            <w:r/>
            <w:r>
              <w:rPr>
                <w:rFonts w:ascii="Arial" w:hAnsi="Arial" w:eastAsia="Arial"/>
                <w:b w:val="0"/>
                <w:color w:val="000000"/>
                <w:sz w:val="18"/>
              </w:rPr>
              <w:t>Attribute Name</w:t>
            </w:r>
          </w:p>
        </w:tc>
        <w:tc>
          <w:tcPr>
            <w:tcW w:type="dxa" w:w="8208"/>
            <w:vAlign w:val="center"/>
          </w:tcPr>
          <w:p>
            <w:r/>
            <w:r>
              <w:rPr>
                <w:rFonts w:ascii="Arial" w:hAnsi="Arial" w:eastAsia="Arial"/>
                <w:b w:val="0"/>
                <w:color w:val="000000"/>
                <w:sz w:val="18"/>
              </w:rPr>
              <w:t>Searches records by PRJ attribute name.</w:t>
            </w:r>
          </w:p>
        </w:tc>
      </w:tr>
      <w:tr>
        <w:tc>
          <w:tcPr>
            <w:tcW w:type="dxa" w:w="3168"/>
            <w:vAlign w:val="center"/>
          </w:tcPr>
          <w:p>
            <w:r/>
            <w:r>
              <w:rPr>
                <w:rFonts w:ascii="Arial" w:hAnsi="Arial" w:eastAsia="Arial"/>
                <w:b w:val="0"/>
                <w:color w:val="000000"/>
                <w:sz w:val="18"/>
              </w:rPr>
              <w:t>Attribute Description</w:t>
            </w:r>
          </w:p>
        </w:tc>
        <w:tc>
          <w:tcPr>
            <w:tcW w:type="dxa" w:w="8208"/>
            <w:vAlign w:val="center"/>
          </w:tcPr>
          <w:p>
            <w:r/>
            <w:r>
              <w:rPr>
                <w:rFonts w:ascii="Arial" w:hAnsi="Arial" w:eastAsia="Arial"/>
                <w:b w:val="0"/>
                <w:color w:val="000000"/>
                <w:sz w:val="18"/>
              </w:rPr>
              <w:t>Searches records by attribute description.</w:t>
            </w:r>
          </w:p>
        </w:tc>
      </w:tr>
      <w:tr>
        <w:tc>
          <w:tcPr>
            <w:tcW w:type="dxa" w:w="3168"/>
            <w:vAlign w:val="center"/>
          </w:tcPr>
          <w:p>
            <w:r/>
            <w:r>
              <w:rPr>
                <w:rFonts w:ascii="Arial" w:hAnsi="Arial" w:eastAsia="Arial"/>
                <w:b w:val="0"/>
                <w:color w:val="000000"/>
                <w:sz w:val="18"/>
              </w:rPr>
              <w:t>Section</w:t>
            </w:r>
          </w:p>
        </w:tc>
        <w:tc>
          <w:tcPr>
            <w:tcW w:type="dxa" w:w="8208"/>
            <w:vAlign w:val="center"/>
          </w:tcPr>
          <w:p>
            <w:r/>
            <w:r>
              <w:rPr>
                <w:rFonts w:ascii="Arial" w:hAnsi="Arial" w:eastAsia="Arial"/>
                <w:b w:val="0"/>
                <w:color w:val="000000"/>
                <w:sz w:val="18"/>
              </w:rPr>
              <w:t>Filters by where_in_financial_statement.</w:t>
            </w:r>
          </w:p>
        </w:tc>
      </w:tr>
      <w:tr>
        <w:tc>
          <w:tcPr>
            <w:tcW w:type="dxa" w:w="3168"/>
            <w:vAlign w:val="center"/>
          </w:tcPr>
          <w:p>
            <w:r/>
            <w:r>
              <w:rPr>
                <w:rFonts w:ascii="Arial" w:hAnsi="Arial" w:eastAsia="Arial"/>
                <w:b w:val="0"/>
                <w:color w:val="000000"/>
                <w:sz w:val="18"/>
              </w:rPr>
              <w:t>Overlapped Attribute</w:t>
            </w:r>
          </w:p>
        </w:tc>
        <w:tc>
          <w:tcPr>
            <w:tcW w:type="dxa" w:w="8208"/>
            <w:vAlign w:val="center"/>
          </w:tcPr>
          <w:p>
            <w:r/>
            <w:r>
              <w:rPr>
                <w:rFonts w:ascii="Arial" w:hAnsi="Arial" w:eastAsia="Arial"/>
                <w:b w:val="0"/>
                <w:color w:val="000000"/>
                <w:sz w:val="18"/>
              </w:rPr>
              <w:t>Identifies records used by more than one portfolio/sector.</w:t>
            </w:r>
          </w:p>
        </w:tc>
      </w:tr>
    </w:tbl>
    <w:p/>
    <w:p>
      <w:pPr>
        <w:pStyle w:val="Heading1"/>
      </w:pPr>
      <w:r>
        <w:t>8. Add New Attribute Flow</w:t>
      </w:r>
    </w:p>
    <w:p>
      <w:r>
        <w:t>When an Admin user clicks Add New Attribute, a popup form opens. Mandatory fields are PRJ_ID, Attribute Name, and Section. After submission, the Finalization Service writes to the master and three target tables, and records audit/history entries.</w:t>
      </w:r>
    </w:p>
    <w:p>
      <w:pPr>
        <w:ind w:left="288"/>
      </w:pPr>
      <w:r>
        <w:rPr>
          <w:rFonts w:ascii="Consolas" w:hAnsi="Consolas" w:eastAsia="Consolas"/>
          <w:color w:val="1F1F1F"/>
          <w:sz w:val="18"/>
        </w:rPr>
        <w:t>Add New Attribute -&gt; Validate mandatory fields -&gt; Finalization Service -&gt; master_dictionary + 3 target tables -&gt; audit_log + history_log -&gt; Refresh grid</w:t>
      </w:r>
    </w:p>
    <w:p>
      <w:pPr>
        <w:pStyle w:val="Heading1"/>
      </w:pPr>
      <w:r>
        <w:t>9. Edit Attribute Flow</w:t>
      </w:r>
    </w:p>
    <w:p>
      <w:r>
        <w:t>The user selects a row from the grid and clicks View/Edit. The popup opens in read-only mode. After clicking Edit, fields become editable except PRJ_ID. On upload/save, changes are persisted to master and target tables with audit/history tracking.</w:t>
      </w:r>
    </w:p>
    <w:p>
      <w:pPr>
        <w:ind w:left="288"/>
      </w:pPr>
      <w:r>
        <w:rPr>
          <w:rFonts w:ascii="Consolas" w:hAnsi="Consolas" w:eastAsia="Consolas"/>
          <w:color w:val="1F1F1F"/>
          <w:sz w:val="18"/>
        </w:rPr>
        <w:t>Select row -&gt; View/Edit popup -&gt; Read-only mode -&gt; Edit -&gt; Save -&gt; Update DB tables -&gt; Audit/History -&gt; Refresh grid</w:t>
      </w:r>
    </w:p>
    <w:p>
      <w:pPr>
        <w:pStyle w:val="Heading1"/>
      </w:pPr>
      <w:r>
        <w:t>10. Soft Delete and Reactivation Flow</w:t>
      </w:r>
    </w:p>
    <w:p>
      <w:r>
        <w:t>The tool does not physically delete records. Soft delete sets is_active = 0 across the master and target tables. Reactivation sets is_active = 1 and returns the record to the active grid.</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r/>
            <w:r>
              <w:rPr>
                <w:rFonts w:ascii="Arial" w:hAnsi="Arial" w:eastAsia="Arial"/>
                <w:b/>
                <w:color w:val="FFFFFF"/>
                <w:sz w:val="18"/>
              </w:rPr>
              <w:t>Action</w:t>
            </w:r>
          </w:p>
        </w:tc>
        <w:tc>
          <w:tcPr>
            <w:tcW w:type="dxa" w:w="8784"/>
            <w:shd w:fill="1F4E79"/>
            <w:vAlign w:val="center"/>
          </w:tcPr>
          <w:p>
            <w:r/>
            <w:r>
              <w:rPr>
                <w:rFonts w:ascii="Arial" w:hAnsi="Arial" w:eastAsia="Arial"/>
                <w:b/>
                <w:color w:val="FFFFFF"/>
                <w:sz w:val="18"/>
              </w:rPr>
              <w:t>Behavior</w:t>
            </w:r>
          </w:p>
        </w:tc>
      </w:tr>
      <w:tr>
        <w:tc>
          <w:tcPr>
            <w:tcW w:type="dxa" w:w="2592"/>
            <w:vAlign w:val="center"/>
          </w:tcPr>
          <w:p>
            <w:r/>
            <w:r>
              <w:rPr>
                <w:rFonts w:ascii="Arial" w:hAnsi="Arial" w:eastAsia="Arial"/>
                <w:b w:val="0"/>
                <w:color w:val="000000"/>
                <w:sz w:val="18"/>
              </w:rPr>
              <w:t>Soft Delete</w:t>
            </w:r>
          </w:p>
        </w:tc>
        <w:tc>
          <w:tcPr>
            <w:tcW w:type="dxa" w:w="8784"/>
            <w:vAlign w:val="center"/>
          </w:tcPr>
          <w:p>
            <w:r/>
            <w:r>
              <w:rPr>
                <w:rFonts w:ascii="Arial" w:hAnsi="Arial" w:eastAsia="Arial"/>
                <w:b w:val="0"/>
                <w:color w:val="000000"/>
                <w:sz w:val="18"/>
              </w:rPr>
              <w:t>Sets is_active = 0 in master_dictionary and the three target tables. The record is removed from the active grid.</w:t>
            </w:r>
          </w:p>
        </w:tc>
      </w:tr>
      <w:tr>
        <w:tc>
          <w:tcPr>
            <w:tcW w:type="dxa" w:w="2592"/>
            <w:vAlign w:val="center"/>
          </w:tcPr>
          <w:p>
            <w:r/>
            <w:r>
              <w:rPr>
                <w:rFonts w:ascii="Arial" w:hAnsi="Arial" w:eastAsia="Arial"/>
                <w:b w:val="0"/>
                <w:color w:val="000000"/>
                <w:sz w:val="18"/>
              </w:rPr>
              <w:t>Reactivate</w:t>
            </w:r>
          </w:p>
        </w:tc>
        <w:tc>
          <w:tcPr>
            <w:tcW w:type="dxa" w:w="8784"/>
            <w:vAlign w:val="center"/>
          </w:tcPr>
          <w:p>
            <w:r/>
            <w:r>
              <w:rPr>
                <w:rFonts w:ascii="Arial" w:hAnsi="Arial" w:eastAsia="Arial"/>
                <w:b w:val="0"/>
                <w:color w:val="000000"/>
                <w:sz w:val="18"/>
              </w:rPr>
              <w:t>Selects an inactive row and sets is_active = 1 in master_dictionary and the three target tables. The record appears again in the active grid.</w:t>
            </w:r>
          </w:p>
        </w:tc>
      </w:tr>
    </w:tbl>
    <w:p/>
    <w:p>
      <w:pPr>
        <w:pStyle w:val="Heading1"/>
      </w:pPr>
      <w:r>
        <w:t>11. Audit History Flow</w:t>
      </w:r>
    </w:p>
    <w:p>
      <w:r>
        <w:t>The Audit History tab allows users to search audit records using business filters such as portfolio, PRJ_ID, attribute name, attribute description, section, and overlapped attribute. Audit records show user, timestamp, action type, old value, new value, source module, and batch ID.</w:t>
      </w:r>
    </w:p>
    <w:p>
      <w:pPr>
        <w:pStyle w:val="Heading1"/>
      </w:pPr>
      <w:r>
        <w:t>12. Internal S3 Export Flow</w:t>
      </w:r>
    </w:p>
    <w:p>
      <w:r>
        <w:t>Admin users can export latest active records from four tables to an internal S3-compatible bucket. The application creates timestamped CSV files and uploads them using boto3 upload_file with the configured internal endpoint.</w:t>
      </w:r>
    </w:p>
    <w:tbl>
      <w:tblPr>
        <w:tblStyle w:val="TableGrid"/>
        <w:tblW w:type="auto" w:w="0"/>
        <w:jc w:val="center"/>
        <w:tblLook w:firstColumn="1" w:firstRow="1" w:lastColumn="0" w:lastRow="0" w:noHBand="0" w:noVBand="1" w:val="04A0"/>
      </w:tblPr>
      <w:tblGrid>
        <w:gridCol w:w="5112"/>
        <w:gridCol w:w="5112"/>
      </w:tblGrid>
      <w:tr>
        <w:tc>
          <w:tcPr>
            <w:tcW w:type="dxa" w:w="4608"/>
            <w:shd w:fill="1F4E79"/>
            <w:vAlign w:val="center"/>
          </w:tcPr>
          <w:p>
            <w:r/>
            <w:r>
              <w:rPr>
                <w:rFonts w:ascii="Arial" w:hAnsi="Arial" w:eastAsia="Arial"/>
                <w:b/>
                <w:color w:val="FFFFFF"/>
                <w:sz w:val="18"/>
              </w:rPr>
              <w:t>Exported Table</w:t>
            </w:r>
          </w:p>
        </w:tc>
        <w:tc>
          <w:tcPr>
            <w:tcW w:type="dxa" w:w="6768"/>
            <w:shd w:fill="1F4E79"/>
            <w:vAlign w:val="center"/>
          </w:tcPr>
          <w:p>
            <w:r/>
            <w:r>
              <w:rPr>
                <w:rFonts w:ascii="Arial" w:hAnsi="Arial" w:eastAsia="Arial"/>
                <w:b/>
                <w:color w:val="FFFFFF"/>
                <w:sz w:val="18"/>
              </w:rPr>
              <w:t>Output</w:t>
            </w:r>
          </w:p>
        </w:tc>
      </w:tr>
      <w:tr>
        <w:tc>
          <w:tcPr>
            <w:tcW w:type="dxa" w:w="4608"/>
            <w:vAlign w:val="center"/>
          </w:tcPr>
          <w:p>
            <w:r/>
            <w:r>
              <w:rPr>
                <w:rFonts w:ascii="Arial" w:hAnsi="Arial" w:eastAsia="Arial"/>
                <w:b w:val="0"/>
                <w:color w:val="000000"/>
                <w:sz w:val="18"/>
              </w:rPr>
              <w:t>master_dictionary</w:t>
            </w:r>
          </w:p>
        </w:tc>
        <w:tc>
          <w:tcPr>
            <w:tcW w:type="dxa" w:w="6768"/>
            <w:vAlign w:val="center"/>
          </w:tcPr>
          <w:p>
            <w:r/>
            <w:r>
              <w:rPr>
                <w:rFonts w:ascii="Arial" w:hAnsi="Arial" w:eastAsia="Arial"/>
                <w:b w:val="0"/>
                <w:color w:val="000000"/>
                <w:sz w:val="18"/>
              </w:rPr>
              <w:t>master_dictionary.csv</w:t>
            </w:r>
          </w:p>
        </w:tc>
      </w:tr>
      <w:tr>
        <w:tc>
          <w:tcPr>
            <w:tcW w:type="dxa" w:w="4608"/>
            <w:vAlign w:val="center"/>
          </w:tcPr>
          <w:p>
            <w:r/>
            <w:r>
              <w:rPr>
                <w:rFonts w:ascii="Arial" w:hAnsi="Arial" w:eastAsia="Arial"/>
                <w:b w:val="0"/>
                <w:color w:val="000000"/>
                <w:sz w:val="18"/>
              </w:rPr>
              <w:t>prj_attribute</w:t>
            </w:r>
          </w:p>
        </w:tc>
        <w:tc>
          <w:tcPr>
            <w:tcW w:type="dxa" w:w="6768"/>
            <w:vAlign w:val="center"/>
          </w:tcPr>
          <w:p>
            <w:r/>
            <w:r>
              <w:rPr>
                <w:rFonts w:ascii="Arial" w:hAnsi="Arial" w:eastAsia="Arial"/>
                <w:b w:val="0"/>
                <w:color w:val="000000"/>
                <w:sz w:val="18"/>
              </w:rPr>
              <w:t>prj_attribute.csv</w:t>
            </w:r>
          </w:p>
        </w:tc>
      </w:tr>
      <w:tr>
        <w:tc>
          <w:tcPr>
            <w:tcW w:type="dxa" w:w="4608"/>
            <w:vAlign w:val="center"/>
          </w:tcPr>
          <w:p>
            <w:r/>
            <w:r>
              <w:rPr>
                <w:rFonts w:ascii="Arial" w:hAnsi="Arial" w:eastAsia="Arial"/>
                <w:b w:val="0"/>
                <w:color w:val="000000"/>
                <w:sz w:val="18"/>
              </w:rPr>
              <w:t>prj_attr_business_logic</w:t>
            </w:r>
          </w:p>
        </w:tc>
        <w:tc>
          <w:tcPr>
            <w:tcW w:type="dxa" w:w="6768"/>
            <w:vAlign w:val="center"/>
          </w:tcPr>
          <w:p>
            <w:r/>
            <w:r>
              <w:rPr>
                <w:rFonts w:ascii="Arial" w:hAnsi="Arial" w:eastAsia="Arial"/>
                <w:b w:val="0"/>
                <w:color w:val="000000"/>
                <w:sz w:val="18"/>
              </w:rPr>
              <w:t>prj_attr_business_logic.csv</w:t>
            </w:r>
          </w:p>
        </w:tc>
      </w:tr>
      <w:tr>
        <w:tc>
          <w:tcPr>
            <w:tcW w:type="dxa" w:w="4608"/>
            <w:vAlign w:val="center"/>
          </w:tcPr>
          <w:p>
            <w:r/>
            <w:r>
              <w:rPr>
                <w:rFonts w:ascii="Arial" w:hAnsi="Arial" w:eastAsia="Arial"/>
                <w:b w:val="0"/>
                <w:color w:val="000000"/>
                <w:sz w:val="18"/>
              </w:rPr>
              <w:t>prj_attr_business_logic_scope</w:t>
            </w:r>
          </w:p>
        </w:tc>
        <w:tc>
          <w:tcPr>
            <w:tcW w:type="dxa" w:w="6768"/>
            <w:vAlign w:val="center"/>
          </w:tcPr>
          <w:p>
            <w:r/>
            <w:r>
              <w:rPr>
                <w:rFonts w:ascii="Arial" w:hAnsi="Arial" w:eastAsia="Arial"/>
                <w:b w:val="0"/>
                <w:color w:val="000000"/>
                <w:sz w:val="18"/>
              </w:rPr>
              <w:t>prj_attr_business_logic_scope.csv</w:t>
            </w:r>
          </w:p>
        </w:tc>
      </w:tr>
    </w:tbl>
    <w:p/>
    <w:p>
      <w:pPr>
        <w:ind w:left="288"/>
      </w:pPr>
      <w:r>
        <w:rPr>
          <w:rFonts w:ascii="Consolas" w:hAnsi="Consolas" w:eastAsia="Consolas"/>
          <w:color w:val="1F1F1F"/>
          <w:sz w:val="18"/>
        </w:rPr>
        <w:t>boto3 upload_file | endpoint_url = HOST | use_ssl = False | verify = False</w:t>
      </w:r>
    </w:p>
    <w:p>
      <w:pPr>
        <w:pStyle w:val="Heading1"/>
      </w:pPr>
      <w:r>
        <w:t>13. Performance Improvements</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rFonts w:ascii="Arial" w:hAnsi="Arial" w:eastAsia="Arial"/>
                <w:b/>
                <w:color w:val="FFFFFF"/>
                <w:sz w:val="18"/>
              </w:rPr>
              <w:t>Area</w:t>
            </w:r>
          </w:p>
        </w:tc>
        <w:tc>
          <w:tcPr>
            <w:tcW w:type="dxa" w:w="8208"/>
            <w:shd w:fill="1F4E79"/>
            <w:vAlign w:val="center"/>
          </w:tcPr>
          <w:p>
            <w:r/>
            <w:r>
              <w:rPr>
                <w:rFonts w:ascii="Arial" w:hAnsi="Arial" w:eastAsia="Arial"/>
                <w:b/>
                <w:color w:val="FFFFFF"/>
                <w:sz w:val="18"/>
              </w:rPr>
              <w:t>Improvement</w:t>
            </w:r>
          </w:p>
        </w:tc>
      </w:tr>
      <w:tr>
        <w:tc>
          <w:tcPr>
            <w:tcW w:type="dxa" w:w="3168"/>
            <w:vAlign w:val="center"/>
          </w:tcPr>
          <w:p>
            <w:r/>
            <w:r>
              <w:rPr>
                <w:rFonts w:ascii="Arial" w:hAnsi="Arial" w:eastAsia="Arial"/>
                <w:b w:val="0"/>
                <w:color w:val="000000"/>
                <w:sz w:val="18"/>
              </w:rPr>
              <w:t>Modal close</w:t>
            </w:r>
          </w:p>
        </w:tc>
        <w:tc>
          <w:tcPr>
            <w:tcW w:type="dxa" w:w="8208"/>
            <w:vAlign w:val="center"/>
          </w:tcPr>
          <w:p>
            <w:r/>
            <w:r>
              <w:rPr>
                <w:rFonts w:ascii="Arial" w:hAnsi="Arial" w:eastAsia="Arial"/>
                <w:b w:val="0"/>
                <w:color w:val="000000"/>
                <w:sz w:val="18"/>
              </w:rPr>
              <w:t>Close actions no longer trigger unnecessary full reloads.</w:t>
            </w:r>
          </w:p>
        </w:tc>
      </w:tr>
      <w:tr>
        <w:tc>
          <w:tcPr>
            <w:tcW w:type="dxa" w:w="3168"/>
            <w:vAlign w:val="center"/>
          </w:tcPr>
          <w:p>
            <w:r/>
            <w:r>
              <w:rPr>
                <w:rFonts w:ascii="Arial" w:hAnsi="Arial" w:eastAsia="Arial"/>
                <w:b w:val="0"/>
                <w:color w:val="000000"/>
                <w:sz w:val="18"/>
              </w:rPr>
              <w:t>Grid loading</w:t>
            </w:r>
          </w:p>
        </w:tc>
        <w:tc>
          <w:tcPr>
            <w:tcW w:type="dxa" w:w="8208"/>
            <w:vAlign w:val="center"/>
          </w:tcPr>
          <w:p>
            <w:r/>
            <w:r>
              <w:rPr>
                <w:rFonts w:ascii="Arial" w:hAnsi="Arial" w:eastAsia="Arial"/>
                <w:b w:val="0"/>
                <w:color w:val="000000"/>
                <w:sz w:val="18"/>
              </w:rPr>
              <w:t>Filtered data is cached in Streamlit session state.</w:t>
            </w:r>
          </w:p>
        </w:tc>
      </w:tr>
      <w:tr>
        <w:tc>
          <w:tcPr>
            <w:tcW w:type="dxa" w:w="3168"/>
            <w:vAlign w:val="center"/>
          </w:tcPr>
          <w:p>
            <w:r/>
            <w:r>
              <w:rPr>
                <w:rFonts w:ascii="Arial" w:hAnsi="Arial" w:eastAsia="Arial"/>
                <w:b w:val="0"/>
                <w:color w:val="000000"/>
                <w:sz w:val="18"/>
              </w:rPr>
              <w:t>DB connections</w:t>
            </w:r>
          </w:p>
        </w:tc>
        <w:tc>
          <w:tcPr>
            <w:tcW w:type="dxa" w:w="8208"/>
            <w:vAlign w:val="center"/>
          </w:tcPr>
          <w:p>
            <w:r/>
            <w:r>
              <w:rPr>
                <w:rFonts w:ascii="Arial" w:hAnsi="Arial" w:eastAsia="Arial"/>
                <w:b w:val="0"/>
                <w:color w:val="000000"/>
                <w:sz w:val="18"/>
              </w:rPr>
              <w:t>SQLAlchemy engine/session factory is cached and pooled.</w:t>
            </w:r>
          </w:p>
        </w:tc>
      </w:tr>
      <w:tr>
        <w:tc>
          <w:tcPr>
            <w:tcW w:type="dxa" w:w="3168"/>
            <w:vAlign w:val="center"/>
          </w:tcPr>
          <w:p>
            <w:r/>
            <w:r>
              <w:rPr>
                <w:rFonts w:ascii="Arial" w:hAnsi="Arial" w:eastAsia="Arial"/>
                <w:b w:val="0"/>
                <w:color w:val="000000"/>
                <w:sz w:val="18"/>
              </w:rPr>
              <w:t>Refresh behavior</w:t>
            </w:r>
          </w:p>
        </w:tc>
        <w:tc>
          <w:tcPr>
            <w:tcW w:type="dxa" w:w="8208"/>
            <w:vAlign w:val="center"/>
          </w:tcPr>
          <w:p>
            <w:r/>
            <w:r>
              <w:rPr>
                <w:rFonts w:ascii="Arial" w:hAnsi="Arial" w:eastAsia="Arial"/>
                <w:b w:val="0"/>
                <w:color w:val="000000"/>
                <w:sz w:val="18"/>
              </w:rPr>
              <w:t>Grid refresh happens only after filter change, manual refresh, insert, update, delete, or reactivation.</w:t>
            </w:r>
          </w:p>
        </w:tc>
      </w:tr>
      <w:tr>
        <w:tc>
          <w:tcPr>
            <w:tcW w:type="dxa" w:w="3168"/>
            <w:vAlign w:val="center"/>
          </w:tcPr>
          <w:p>
            <w:r/>
            <w:r>
              <w:rPr>
                <w:rFonts w:ascii="Arial" w:hAnsi="Arial" w:eastAsia="Arial"/>
                <w:b w:val="0"/>
                <w:color w:val="000000"/>
                <w:sz w:val="18"/>
              </w:rPr>
              <w:t>SQL Server</w:t>
            </w:r>
          </w:p>
        </w:tc>
        <w:tc>
          <w:tcPr>
            <w:tcW w:type="dxa" w:w="8208"/>
            <w:vAlign w:val="center"/>
          </w:tcPr>
          <w:p>
            <w:r/>
            <w:r>
              <w:rPr>
                <w:rFonts w:ascii="Arial" w:hAnsi="Arial" w:eastAsia="Arial"/>
                <w:b w:val="0"/>
                <w:color w:val="000000"/>
                <w:sz w:val="18"/>
              </w:rPr>
              <w:t>Additional indexes support faster filtering and audit queries.</w:t>
            </w:r>
          </w:p>
        </w:tc>
      </w:tr>
    </w:tbl>
    <w:p/>
    <w:p>
      <w:pPr>
        <w:pStyle w:val="Heading1"/>
      </w:pPr>
      <w:r>
        <w:t>14. Benefits</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rFonts w:ascii="Arial" w:hAnsi="Arial" w:eastAsia="Arial"/>
                <w:b/>
                <w:color w:val="FFFFFF"/>
                <w:sz w:val="18"/>
              </w:rPr>
              <w:t>Benefit</w:t>
            </w:r>
          </w:p>
        </w:tc>
        <w:tc>
          <w:tcPr>
            <w:tcW w:type="dxa" w:w="8208"/>
            <w:shd w:fill="1F4E79"/>
            <w:vAlign w:val="center"/>
          </w:tcPr>
          <w:p>
            <w:r/>
            <w:r>
              <w:rPr>
                <w:rFonts w:ascii="Arial" w:hAnsi="Arial" w:eastAsia="Arial"/>
                <w:b/>
                <w:color w:val="FFFFFF"/>
                <w:sz w:val="18"/>
              </w:rPr>
              <w:t>Description</w:t>
            </w:r>
          </w:p>
        </w:tc>
      </w:tr>
      <w:tr>
        <w:tc>
          <w:tcPr>
            <w:tcW w:type="dxa" w:w="3168"/>
            <w:vAlign w:val="center"/>
          </w:tcPr>
          <w:p>
            <w:r/>
            <w:r>
              <w:rPr>
                <w:rFonts w:ascii="Arial" w:hAnsi="Arial" w:eastAsia="Arial"/>
                <w:b w:val="0"/>
                <w:color w:val="000000"/>
                <w:sz w:val="18"/>
              </w:rPr>
              <w:t>Controlled Updates</w:t>
            </w:r>
          </w:p>
        </w:tc>
        <w:tc>
          <w:tcPr>
            <w:tcW w:type="dxa" w:w="8208"/>
            <w:vAlign w:val="center"/>
          </w:tcPr>
          <w:p>
            <w:r/>
            <w:r>
              <w:rPr>
                <w:rFonts w:ascii="Arial" w:hAnsi="Arial" w:eastAsia="Arial"/>
                <w:b w:val="0"/>
                <w:color w:val="000000"/>
                <w:sz w:val="18"/>
              </w:rPr>
              <w:t>Users no longer need direct database access for standard Data Dictionary maintenance.</w:t>
            </w:r>
          </w:p>
        </w:tc>
      </w:tr>
      <w:tr>
        <w:tc>
          <w:tcPr>
            <w:tcW w:type="dxa" w:w="3168"/>
            <w:vAlign w:val="center"/>
          </w:tcPr>
          <w:p>
            <w:r/>
            <w:r>
              <w:rPr>
                <w:rFonts w:ascii="Arial" w:hAnsi="Arial" w:eastAsia="Arial"/>
                <w:b w:val="0"/>
                <w:color w:val="000000"/>
                <w:sz w:val="18"/>
              </w:rPr>
              <w:t>Auditability</w:t>
            </w:r>
          </w:p>
        </w:tc>
        <w:tc>
          <w:tcPr>
            <w:tcW w:type="dxa" w:w="8208"/>
            <w:vAlign w:val="center"/>
          </w:tcPr>
          <w:p>
            <w:r/>
            <w:r>
              <w:rPr>
                <w:rFonts w:ascii="Arial" w:hAnsi="Arial" w:eastAsia="Arial"/>
                <w:b w:val="0"/>
                <w:color w:val="000000"/>
                <w:sz w:val="18"/>
              </w:rPr>
              <w:t>Every insert, update, delete, and reactivation is traceable.</w:t>
            </w:r>
          </w:p>
        </w:tc>
      </w:tr>
      <w:tr>
        <w:tc>
          <w:tcPr>
            <w:tcW w:type="dxa" w:w="3168"/>
            <w:vAlign w:val="center"/>
          </w:tcPr>
          <w:p>
            <w:r/>
            <w:r>
              <w:rPr>
                <w:rFonts w:ascii="Arial" w:hAnsi="Arial" w:eastAsia="Arial"/>
                <w:b w:val="0"/>
                <w:color w:val="000000"/>
                <w:sz w:val="18"/>
              </w:rPr>
              <w:t>Consistency</w:t>
            </w:r>
          </w:p>
        </w:tc>
        <w:tc>
          <w:tcPr>
            <w:tcW w:type="dxa" w:w="8208"/>
            <w:vAlign w:val="center"/>
          </w:tcPr>
          <w:p>
            <w:r/>
            <w:r>
              <w:rPr>
                <w:rFonts w:ascii="Arial" w:hAnsi="Arial" w:eastAsia="Arial"/>
                <w:b w:val="0"/>
                <w:color w:val="000000"/>
                <w:sz w:val="18"/>
              </w:rPr>
              <w:t>Master and target tables are updated together through a service layer.</w:t>
            </w:r>
          </w:p>
        </w:tc>
      </w:tr>
      <w:tr>
        <w:tc>
          <w:tcPr>
            <w:tcW w:type="dxa" w:w="3168"/>
            <w:vAlign w:val="center"/>
          </w:tcPr>
          <w:p>
            <w:r/>
            <w:r>
              <w:rPr>
                <w:rFonts w:ascii="Arial" w:hAnsi="Arial" w:eastAsia="Arial"/>
                <w:b w:val="0"/>
                <w:color w:val="000000"/>
                <w:sz w:val="18"/>
              </w:rPr>
              <w:t>Role-Based Control</w:t>
            </w:r>
          </w:p>
        </w:tc>
        <w:tc>
          <w:tcPr>
            <w:tcW w:type="dxa" w:w="8208"/>
            <w:vAlign w:val="center"/>
          </w:tcPr>
          <w:p>
            <w:r/>
            <w:r>
              <w:rPr>
                <w:rFonts w:ascii="Arial" w:hAnsi="Arial" w:eastAsia="Arial"/>
                <w:b w:val="0"/>
                <w:color w:val="000000"/>
                <w:sz w:val="18"/>
              </w:rPr>
              <w:t>Admin actions are hidden from non-admin users.</w:t>
            </w:r>
          </w:p>
        </w:tc>
      </w:tr>
      <w:tr>
        <w:tc>
          <w:tcPr>
            <w:tcW w:type="dxa" w:w="3168"/>
            <w:vAlign w:val="center"/>
          </w:tcPr>
          <w:p>
            <w:r/>
            <w:r>
              <w:rPr>
                <w:rFonts w:ascii="Arial" w:hAnsi="Arial" w:eastAsia="Arial"/>
                <w:b w:val="0"/>
                <w:color w:val="000000"/>
                <w:sz w:val="18"/>
              </w:rPr>
              <w:t>Recovery Support</w:t>
            </w:r>
          </w:p>
        </w:tc>
        <w:tc>
          <w:tcPr>
            <w:tcW w:type="dxa" w:w="8208"/>
            <w:vAlign w:val="center"/>
          </w:tcPr>
          <w:p>
            <w:r/>
            <w:r>
              <w:rPr>
                <w:rFonts w:ascii="Arial" w:hAnsi="Arial" w:eastAsia="Arial"/>
                <w:b w:val="0"/>
                <w:color w:val="000000"/>
                <w:sz w:val="18"/>
              </w:rPr>
              <w:t>Soft-deleted records can be reactivated.</w:t>
            </w:r>
          </w:p>
        </w:tc>
      </w:tr>
      <w:tr>
        <w:tc>
          <w:tcPr>
            <w:tcW w:type="dxa" w:w="3168"/>
            <w:vAlign w:val="center"/>
          </w:tcPr>
          <w:p>
            <w:r/>
            <w:r>
              <w:rPr>
                <w:rFonts w:ascii="Arial" w:hAnsi="Arial" w:eastAsia="Arial"/>
                <w:b w:val="0"/>
                <w:color w:val="000000"/>
                <w:sz w:val="18"/>
              </w:rPr>
              <w:t>Downstream Readiness</w:t>
            </w:r>
          </w:p>
        </w:tc>
        <w:tc>
          <w:tcPr>
            <w:tcW w:type="dxa" w:w="8208"/>
            <w:vAlign w:val="center"/>
          </w:tcPr>
          <w:p>
            <w:r/>
            <w:r>
              <w:rPr>
                <w:rFonts w:ascii="Arial" w:hAnsi="Arial" w:eastAsia="Arial"/>
                <w:b w:val="0"/>
                <w:color w:val="000000"/>
                <w:sz w:val="18"/>
              </w:rPr>
              <w:t>Latest active records can be exported to internal S3 for downstream usage.</w:t>
            </w:r>
          </w:p>
        </w:tc>
      </w:tr>
      <w:tr>
        <w:tc>
          <w:tcPr>
            <w:tcW w:type="dxa" w:w="3168"/>
            <w:vAlign w:val="center"/>
          </w:tcPr>
          <w:p>
            <w:r/>
            <w:r>
              <w:rPr>
                <w:rFonts w:ascii="Arial" w:hAnsi="Arial" w:eastAsia="Arial"/>
                <w:b w:val="0"/>
                <w:color w:val="000000"/>
                <w:sz w:val="18"/>
              </w:rPr>
              <w:t>API-First Design</w:t>
            </w:r>
          </w:p>
        </w:tc>
        <w:tc>
          <w:tcPr>
            <w:tcW w:type="dxa" w:w="8208"/>
            <w:vAlign w:val="center"/>
          </w:tcPr>
          <w:p>
            <w:r/>
            <w:r>
              <w:rPr>
                <w:rFonts w:ascii="Arial" w:hAnsi="Arial" w:eastAsia="Arial"/>
                <w:b w:val="0"/>
                <w:color w:val="000000"/>
                <w:sz w:val="18"/>
              </w:rPr>
              <w:t>Swagger APIs enable testing and future integration.</w:t>
            </w:r>
          </w:p>
        </w:tc>
      </w:tr>
    </w:tbl>
    <w:p/>
    <w:p>
      <w:pPr>
        <w:pStyle w:val="Heading1"/>
      </w:pPr>
      <w:r>
        <w:t>15. One-Line Summary</w:t>
      </w:r>
    </w:p>
    <w:p>
      <w:r>
        <w:t>The Data Dictionary Admin App is a controlled, role-based, audit-enabled Python application that allows users to manage PRJ Data Dictionary attributes through Streamlit UI and FastAPI APIs while keeping SQL Server tables, audit history, and internal S3 extracts synchronized.</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Data Dictionary Admin App - Tool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