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087B" w:rsidRPr="00FA795D" w:rsidRDefault="00FA795D" w:rsidP="00FA795D">
      <w:pPr>
        <w:pStyle w:val="Heading1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EV </w:t>
      </w:r>
      <w:proofErr w:type="gramStart"/>
      <w:r>
        <w:rPr>
          <w:sz w:val="48"/>
          <w:szCs w:val="48"/>
        </w:rPr>
        <w:t xml:space="preserve">Charging </w:t>
      </w:r>
      <w:r w:rsidR="0060517C" w:rsidRPr="00FA795D">
        <w:rPr>
          <w:sz w:val="48"/>
          <w:szCs w:val="48"/>
        </w:rPr>
        <w:t xml:space="preserve"> Analysis</w:t>
      </w:r>
      <w:proofErr w:type="gramEnd"/>
    </w:p>
    <w:p w:rsidR="00FA795D" w:rsidRDefault="00FA795D">
      <w:pPr>
        <w:pStyle w:val="Heading2"/>
      </w:pPr>
    </w:p>
    <w:p w:rsidR="00A1087B" w:rsidRPr="00FA795D" w:rsidRDefault="0060517C">
      <w:pPr>
        <w:pStyle w:val="Heading2"/>
        <w:rPr>
          <w:sz w:val="32"/>
          <w:szCs w:val="32"/>
        </w:rPr>
      </w:pPr>
      <w:r w:rsidRPr="00FA795D">
        <w:rPr>
          <w:sz w:val="32"/>
          <w:szCs w:val="32"/>
        </w:rPr>
        <w:t>Executive Summary</w:t>
      </w:r>
    </w:p>
    <w:p w:rsidR="00FA795D" w:rsidRPr="00FA795D" w:rsidRDefault="0060517C">
      <w:pPr>
        <w:rPr>
          <w:sz w:val="24"/>
          <w:szCs w:val="24"/>
        </w:rPr>
      </w:pPr>
      <w:r w:rsidRPr="00FA795D">
        <w:rPr>
          <w:sz w:val="24"/>
          <w:szCs w:val="24"/>
        </w:rPr>
        <w:t>This report presents a comprehensive analysis of EV charging station operations. The objective is to evaluate revenue performance, operational efficiency, energy demand, and vehicle</w:t>
      </w:r>
      <w:r w:rsidRPr="00FA795D">
        <w:rPr>
          <w:sz w:val="24"/>
          <w:szCs w:val="24"/>
        </w:rPr>
        <w:t xml:space="preserve"> charging behavior to support strategic infrastructure and pricing decisions.</w:t>
      </w:r>
    </w:p>
    <w:p w:rsidR="00A1087B" w:rsidRPr="00FA795D" w:rsidRDefault="0060517C">
      <w:pPr>
        <w:pStyle w:val="Heading2"/>
        <w:rPr>
          <w:sz w:val="32"/>
          <w:szCs w:val="32"/>
        </w:rPr>
      </w:pPr>
      <w:r w:rsidRPr="00FA795D">
        <w:rPr>
          <w:sz w:val="32"/>
          <w:szCs w:val="32"/>
        </w:rPr>
        <w:t>Business Objectives</w:t>
      </w:r>
    </w:p>
    <w:p w:rsidR="00A1087B" w:rsidRPr="00FA795D" w:rsidRDefault="0060517C">
      <w:pPr>
        <w:rPr>
          <w:sz w:val="24"/>
          <w:szCs w:val="24"/>
        </w:rPr>
      </w:pPr>
      <w:r w:rsidRPr="00FA795D">
        <w:rPr>
          <w:sz w:val="24"/>
          <w:szCs w:val="24"/>
        </w:rPr>
        <w:t>• Measure total and monthly revenue performance</w:t>
      </w:r>
      <w:r w:rsidRPr="00FA795D">
        <w:rPr>
          <w:sz w:val="24"/>
          <w:szCs w:val="24"/>
        </w:rPr>
        <w:br/>
        <w:t>• Identify peak charging demand hours</w:t>
      </w:r>
      <w:r w:rsidRPr="00FA795D">
        <w:rPr>
          <w:sz w:val="24"/>
          <w:szCs w:val="24"/>
        </w:rPr>
        <w:br/>
        <w:t>• Evaluate vehicle-wise profitability</w:t>
      </w:r>
      <w:r w:rsidRPr="00FA795D">
        <w:rPr>
          <w:sz w:val="24"/>
          <w:szCs w:val="24"/>
        </w:rPr>
        <w:br/>
        <w:t>• Benchmark station performance</w:t>
      </w:r>
      <w:r w:rsidRPr="00FA795D">
        <w:rPr>
          <w:sz w:val="24"/>
          <w:szCs w:val="24"/>
        </w:rPr>
        <w:br/>
        <w:t xml:space="preserve">• </w:t>
      </w:r>
      <w:r w:rsidRPr="00FA795D">
        <w:rPr>
          <w:sz w:val="24"/>
          <w:szCs w:val="24"/>
        </w:rPr>
        <w:t>Analyze energy consumption drivers</w:t>
      </w:r>
    </w:p>
    <w:p w:rsidR="00A1087B" w:rsidRPr="00FA795D" w:rsidRDefault="0060517C">
      <w:pPr>
        <w:pStyle w:val="Heading2"/>
        <w:rPr>
          <w:sz w:val="32"/>
          <w:szCs w:val="32"/>
        </w:rPr>
      </w:pPr>
      <w:r w:rsidRPr="00FA795D">
        <w:rPr>
          <w:sz w:val="32"/>
          <w:szCs w:val="32"/>
        </w:rPr>
        <w:t>Data &amp; Methodology</w:t>
      </w:r>
    </w:p>
    <w:p w:rsidR="00A1087B" w:rsidRPr="00FA795D" w:rsidRDefault="0060517C">
      <w:pPr>
        <w:rPr>
          <w:sz w:val="24"/>
          <w:szCs w:val="24"/>
        </w:rPr>
      </w:pPr>
      <w:r w:rsidRPr="00FA795D">
        <w:rPr>
          <w:sz w:val="24"/>
          <w:szCs w:val="24"/>
        </w:rPr>
        <w:t>The analysis was conducted using Python for data cleaning, feature engineering, and correlation analysis. SQL was used for structured business intelligence queries including CTEs and window functions. P</w:t>
      </w:r>
      <w:r w:rsidRPr="00FA795D">
        <w:rPr>
          <w:sz w:val="24"/>
          <w:szCs w:val="24"/>
        </w:rPr>
        <w:t>ower BI was used for interactive dashboard reporting.</w:t>
      </w:r>
    </w:p>
    <w:p w:rsidR="00A1087B" w:rsidRPr="00FA795D" w:rsidRDefault="0060517C">
      <w:pPr>
        <w:pStyle w:val="Heading2"/>
        <w:rPr>
          <w:sz w:val="32"/>
          <w:szCs w:val="32"/>
        </w:rPr>
      </w:pPr>
      <w:r w:rsidRPr="00FA795D">
        <w:rPr>
          <w:sz w:val="32"/>
          <w:szCs w:val="32"/>
        </w:rPr>
        <w:t>Feature Engineering</w:t>
      </w:r>
    </w:p>
    <w:p w:rsidR="00A1087B" w:rsidRPr="00FA795D" w:rsidRDefault="0060517C">
      <w:pPr>
        <w:rPr>
          <w:sz w:val="24"/>
          <w:szCs w:val="24"/>
        </w:rPr>
      </w:pPr>
      <w:r w:rsidRPr="00FA795D">
        <w:rPr>
          <w:sz w:val="24"/>
          <w:szCs w:val="24"/>
        </w:rPr>
        <w:t>• Extracted Charging Hour from timestamps</w:t>
      </w:r>
      <w:r w:rsidRPr="00FA795D">
        <w:rPr>
          <w:sz w:val="24"/>
          <w:szCs w:val="24"/>
        </w:rPr>
        <w:br/>
        <w:t>• Created Month &amp; Month Name for time-series analysis</w:t>
      </w:r>
      <w:r w:rsidRPr="00FA795D">
        <w:rPr>
          <w:sz w:val="24"/>
          <w:szCs w:val="24"/>
        </w:rPr>
        <w:br/>
        <w:t>• Generated aggregated revenue metrics by vehicle and station</w:t>
      </w:r>
      <w:r w:rsidRPr="00FA795D">
        <w:rPr>
          <w:sz w:val="24"/>
          <w:szCs w:val="24"/>
        </w:rPr>
        <w:br/>
        <w:t>• Developed time-based d</w:t>
      </w:r>
      <w:r w:rsidRPr="00FA795D">
        <w:rPr>
          <w:sz w:val="24"/>
          <w:szCs w:val="24"/>
        </w:rPr>
        <w:t>emand indicators</w:t>
      </w:r>
    </w:p>
    <w:p w:rsidR="00A1087B" w:rsidRPr="00FA795D" w:rsidRDefault="0060517C">
      <w:pPr>
        <w:pStyle w:val="Heading2"/>
        <w:rPr>
          <w:sz w:val="32"/>
          <w:szCs w:val="32"/>
        </w:rPr>
      </w:pPr>
      <w:r w:rsidRPr="00FA795D">
        <w:rPr>
          <w:sz w:val="32"/>
          <w:szCs w:val="32"/>
        </w:rPr>
        <w:t>Correlation Insights</w:t>
      </w:r>
    </w:p>
    <w:p w:rsidR="00A1087B" w:rsidRPr="00FA795D" w:rsidRDefault="0060517C">
      <w:pPr>
        <w:rPr>
          <w:sz w:val="24"/>
          <w:szCs w:val="24"/>
        </w:rPr>
      </w:pPr>
      <w:r w:rsidRPr="00FA795D">
        <w:rPr>
          <w:sz w:val="24"/>
          <w:szCs w:val="24"/>
        </w:rPr>
        <w:t>• Strong positive correlation between Energy Consumed and Charging Cost</w:t>
      </w:r>
      <w:r w:rsidRPr="00FA795D">
        <w:rPr>
          <w:sz w:val="24"/>
          <w:szCs w:val="24"/>
        </w:rPr>
        <w:br/>
        <w:t>• Positive correlation between Charging Duration and Energy Consumption</w:t>
      </w:r>
      <w:r w:rsidRPr="00FA795D">
        <w:rPr>
          <w:sz w:val="24"/>
          <w:szCs w:val="24"/>
        </w:rPr>
        <w:br/>
        <w:t>• Revenue primarily driven by energy usage patterns</w:t>
      </w:r>
    </w:p>
    <w:p w:rsidR="00A1087B" w:rsidRPr="00FA795D" w:rsidRDefault="0060517C">
      <w:pPr>
        <w:pStyle w:val="Heading2"/>
        <w:rPr>
          <w:sz w:val="32"/>
          <w:szCs w:val="32"/>
        </w:rPr>
      </w:pPr>
      <w:r w:rsidRPr="00FA795D">
        <w:rPr>
          <w:sz w:val="32"/>
          <w:szCs w:val="32"/>
        </w:rPr>
        <w:t>Key Findings</w:t>
      </w:r>
    </w:p>
    <w:p w:rsidR="00A1087B" w:rsidRPr="00FA795D" w:rsidRDefault="0060517C">
      <w:pPr>
        <w:rPr>
          <w:sz w:val="24"/>
          <w:szCs w:val="24"/>
        </w:rPr>
      </w:pPr>
      <w:r w:rsidRPr="00FA795D">
        <w:rPr>
          <w:sz w:val="24"/>
          <w:szCs w:val="24"/>
        </w:rPr>
        <w:t>• Certain</w:t>
      </w:r>
      <w:r w:rsidRPr="00FA795D">
        <w:rPr>
          <w:sz w:val="24"/>
          <w:szCs w:val="24"/>
        </w:rPr>
        <w:t xml:space="preserve"> vehicle types generate significantly higher revenue</w:t>
      </w:r>
      <w:r w:rsidRPr="00FA795D">
        <w:rPr>
          <w:sz w:val="24"/>
          <w:szCs w:val="24"/>
        </w:rPr>
        <w:br/>
        <w:t>• Revenue fluctuates month-over-month</w:t>
      </w:r>
      <w:r w:rsidRPr="00FA795D">
        <w:rPr>
          <w:sz w:val="24"/>
          <w:szCs w:val="24"/>
        </w:rPr>
        <w:br/>
      </w:r>
      <w:r w:rsidRPr="00FA795D">
        <w:rPr>
          <w:sz w:val="24"/>
          <w:szCs w:val="24"/>
        </w:rPr>
        <w:lastRenderedPageBreak/>
        <w:t>• Peak hours show clustered demand</w:t>
      </w:r>
      <w:r w:rsidRPr="00FA795D">
        <w:rPr>
          <w:sz w:val="24"/>
          <w:szCs w:val="24"/>
        </w:rPr>
        <w:br/>
        <w:t>• High-performing stations outperform network averages</w:t>
      </w:r>
    </w:p>
    <w:p w:rsidR="00A1087B" w:rsidRPr="00FA795D" w:rsidRDefault="0060517C">
      <w:pPr>
        <w:pStyle w:val="Heading2"/>
        <w:rPr>
          <w:sz w:val="32"/>
          <w:szCs w:val="32"/>
        </w:rPr>
      </w:pPr>
      <w:r w:rsidRPr="00FA795D">
        <w:rPr>
          <w:sz w:val="32"/>
          <w:szCs w:val="32"/>
        </w:rPr>
        <w:t>Strategic Recommendations</w:t>
      </w:r>
    </w:p>
    <w:p w:rsidR="00A1087B" w:rsidRPr="00FA795D" w:rsidRDefault="0060517C">
      <w:pPr>
        <w:rPr>
          <w:sz w:val="24"/>
          <w:szCs w:val="24"/>
        </w:rPr>
      </w:pPr>
      <w:r w:rsidRPr="00FA795D">
        <w:rPr>
          <w:sz w:val="24"/>
          <w:szCs w:val="24"/>
        </w:rPr>
        <w:t>• Expand high-performing stations</w:t>
      </w:r>
      <w:r w:rsidRPr="00FA795D">
        <w:rPr>
          <w:sz w:val="24"/>
          <w:szCs w:val="24"/>
        </w:rPr>
        <w:br/>
        <w:t>• Implement dyn</w:t>
      </w:r>
      <w:r w:rsidRPr="00FA795D">
        <w:rPr>
          <w:sz w:val="24"/>
          <w:szCs w:val="24"/>
        </w:rPr>
        <w:t>amic pricing during peak hours</w:t>
      </w:r>
      <w:r w:rsidRPr="00FA795D">
        <w:rPr>
          <w:sz w:val="24"/>
          <w:szCs w:val="24"/>
        </w:rPr>
        <w:br/>
        <w:t>• Optimize infrastructure allocation</w:t>
      </w:r>
      <w:r w:rsidRPr="00FA795D">
        <w:rPr>
          <w:sz w:val="24"/>
          <w:szCs w:val="24"/>
        </w:rPr>
        <w:br/>
        <w:t>• Forecast energy demand using consumption patterns</w:t>
      </w:r>
    </w:p>
    <w:p w:rsidR="00A1087B" w:rsidRPr="00FA795D" w:rsidRDefault="0060517C">
      <w:pPr>
        <w:pStyle w:val="Heading2"/>
        <w:rPr>
          <w:sz w:val="32"/>
          <w:szCs w:val="32"/>
        </w:rPr>
      </w:pPr>
      <w:r w:rsidRPr="00FA795D">
        <w:rPr>
          <w:sz w:val="32"/>
          <w:szCs w:val="32"/>
        </w:rPr>
        <w:t>Conclusion</w:t>
      </w:r>
    </w:p>
    <w:p w:rsidR="00A1087B" w:rsidRPr="00FA795D" w:rsidRDefault="0060517C">
      <w:pPr>
        <w:rPr>
          <w:sz w:val="24"/>
          <w:szCs w:val="24"/>
        </w:rPr>
      </w:pPr>
      <w:r w:rsidRPr="00FA795D">
        <w:rPr>
          <w:sz w:val="24"/>
          <w:szCs w:val="24"/>
        </w:rPr>
        <w:t>This project demonstrates a full end-to-end analytics workflow enabling data-driven strategic decision-making for EV charging</w:t>
      </w:r>
      <w:r w:rsidRPr="00FA795D">
        <w:rPr>
          <w:sz w:val="24"/>
          <w:szCs w:val="24"/>
        </w:rPr>
        <w:t xml:space="preserve"> network optimization.</w:t>
      </w:r>
      <w:bookmarkStart w:id="0" w:name="_GoBack"/>
      <w:bookmarkEnd w:id="0"/>
    </w:p>
    <w:sectPr w:rsidR="00A1087B" w:rsidRPr="00FA79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517C"/>
    <w:rsid w:val="00A1087B"/>
    <w:rsid w:val="00AA1D8D"/>
    <w:rsid w:val="00B47730"/>
    <w:rsid w:val="00CB0664"/>
    <w:rsid w:val="00FA79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3A4684-1152-4714-B494-0635A6E11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</cp:lastModifiedBy>
  <cp:revision>2</cp:revision>
  <dcterms:created xsi:type="dcterms:W3CDTF">2026-02-23T07:55:00Z</dcterms:created>
  <dcterms:modified xsi:type="dcterms:W3CDTF">2026-02-23T07:55:00Z</dcterms:modified>
</cp:coreProperties>
</file>