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56"/>
        </w:rPr>
        <w:t>FoodWiseAI</w:t>
      </w:r>
    </w:p>
    <w:p>
      <w:pPr>
        <w:spacing w:after="320"/>
      </w:pPr>
      <w:r>
        <w:rPr>
          <w:rFonts w:ascii="Calibri" w:hAnsi="Calibri"/>
          <w:b/>
          <w:color w:val="0E7490"/>
          <w:sz w:val="36"/>
        </w:rPr>
        <w:t>Explainable AI (XAI) &amp; Interpretability Report</w:t>
      </w:r>
    </w:p>
    <w:tbl>
      <w:tblPr>
        <w:tblW w:type="auto" w:w="0"/>
        <w:jc w:val="center"/>
        <w:tblLayout w:type="fixed"/>
        <w:tblLook w:firstColumn="1" w:firstRow="1" w:lastColumn="0" w:lastRow="0" w:noHBand="0" w:noVBand="1" w:val="04A0"/>
      </w:tblPr>
      <w:tblGrid>
        <w:gridCol w:w="4680"/>
        <w:gridCol w:w="4680"/>
      </w:tblGrid>
      <w:tr>
        <w:tc>
          <w:tcPr>
            <w:tcW w:type="dxa" w:w="3456"/>
            <w:shd w:val="clear" w:color="auto" w:fill="1E3A8A"/>
            <w:tcMar>
              <w:top w:w="120" w:type="dxa"/>
              <w:bottom w:w="120" w:type="dxa"/>
              <w:left w:w="150" w:type="dxa"/>
              <w:right w:w="150" w:type="dxa"/>
            </w:tcMar>
          </w:tcPr>
          <w:p>
            <w:pPr>
              <w:jc w:val="left"/>
            </w:pPr>
            <w:r>
              <w:rPr>
                <w:rFonts w:ascii="Calibri" w:hAnsi="Calibri"/>
                <w:b/>
                <w:color w:val="FFFFFF"/>
                <w:sz w:val="20"/>
              </w:rPr>
              <w:t>Attribute</w:t>
            </w:r>
          </w:p>
        </w:tc>
        <w:tc>
          <w:tcPr>
            <w:tcW w:type="dxa" w:w="5904"/>
            <w:shd w:val="clear" w:color="auto" w:fill="1E3A8A"/>
            <w:tcMar>
              <w:top w:w="120" w:type="dxa"/>
              <w:bottom w:w="120" w:type="dxa"/>
              <w:left w:w="150" w:type="dxa"/>
              <w:right w:w="150" w:type="dxa"/>
            </w:tcMar>
          </w:tcPr>
          <w:p>
            <w:pPr>
              <w:jc w:val="left"/>
            </w:pPr>
            <w:r>
              <w:rPr>
                <w:rFonts w:ascii="Calibri" w:hAnsi="Calibri"/>
                <w:b/>
                <w:color w:val="FFFFFF"/>
                <w:sz w:val="20"/>
              </w:rPr>
              <w:t>Specification</w:t>
            </w:r>
          </w:p>
        </w:tc>
      </w:tr>
      <w:tr>
        <w:tc>
          <w:tcPr>
            <w:tcW w:type="dxa" w:w="3456"/>
            <w:shd w:val="clear" w:color="auto" w:fill="FFFFFF"/>
            <w:tcMar>
              <w:top w:w="80" w:type="dxa"/>
              <w:bottom w:w="80" w:type="dxa"/>
              <w:left w:w="150" w:type="dxa"/>
              <w:right w:w="150" w:type="dxa"/>
            </w:tcMar>
          </w:tcPr>
          <w:p>
            <w:pPr>
              <w:jc w:val="left"/>
            </w:pPr>
            <w:r>
              <w:rPr>
                <w:rFonts w:ascii="Calibri" w:hAnsi="Calibri"/>
                <w:color w:val="212529"/>
                <w:sz w:val="19"/>
              </w:rPr>
              <w:t>Academic Unit</w:t>
            </w:r>
          </w:p>
        </w:tc>
        <w:tc>
          <w:tcPr>
            <w:tcW w:type="dxa" w:w="5904"/>
            <w:shd w:val="clear" w:color="auto" w:fill="FFFFFF"/>
            <w:tcMar>
              <w:top w:w="80" w:type="dxa"/>
              <w:bottom w:w="80" w:type="dxa"/>
              <w:left w:w="150" w:type="dxa"/>
              <w:right w:w="150" w:type="dxa"/>
            </w:tcMar>
          </w:tcPr>
          <w:p>
            <w:pPr>
              <w:jc w:val="left"/>
            </w:pPr>
            <w:r>
              <w:rPr>
                <w:rFonts w:ascii="Calibri" w:hAnsi="Calibri"/>
                <w:color w:val="212529"/>
                <w:sz w:val="19"/>
              </w:rPr>
              <w:t>Amrita Vishwa Vidyapeetham — Dept. of Computer Science &amp; AI</w:t>
            </w:r>
          </w:p>
        </w:tc>
      </w:tr>
      <w:tr>
        <w:tc>
          <w:tcPr>
            <w:tcW w:type="dxa" w:w="3456"/>
            <w:shd w:val="clear" w:color="auto" w:fill="F0F9FF"/>
            <w:tcMar>
              <w:top w:w="80" w:type="dxa"/>
              <w:bottom w:w="80" w:type="dxa"/>
              <w:left w:w="150" w:type="dxa"/>
              <w:right w:w="150" w:type="dxa"/>
            </w:tcMar>
          </w:tcPr>
          <w:p>
            <w:pPr>
              <w:jc w:val="left"/>
            </w:pPr>
            <w:r>
              <w:rPr>
                <w:rFonts w:ascii="Calibri" w:hAnsi="Calibri"/>
                <w:color w:val="212529"/>
                <w:sz w:val="19"/>
              </w:rPr>
              <w:t>Course</w:t>
            </w:r>
          </w:p>
        </w:tc>
        <w:tc>
          <w:tcPr>
            <w:tcW w:type="dxa" w:w="5904"/>
            <w:shd w:val="clear" w:color="auto" w:fill="F0F9FF"/>
            <w:tcMar>
              <w:top w:w="80" w:type="dxa"/>
              <w:bottom w:w="80" w:type="dxa"/>
              <w:left w:w="150" w:type="dxa"/>
              <w:right w:w="150" w:type="dxa"/>
            </w:tcMar>
          </w:tcPr>
          <w:p>
            <w:pPr>
              <w:jc w:val="left"/>
            </w:pPr>
            <w:r>
              <w:rPr>
                <w:rFonts w:ascii="Calibri" w:hAnsi="Calibri"/>
                <w:color w:val="212529"/>
                <w:sz w:val="19"/>
              </w:rPr>
              <w:t>21AI401: Neural Networks and Deep Learning (Semester 7)</w:t>
            </w:r>
          </w:p>
        </w:tc>
      </w:tr>
      <w:tr>
        <w:tc>
          <w:tcPr>
            <w:tcW w:type="dxa" w:w="3456"/>
            <w:shd w:val="clear" w:color="auto" w:fill="FFFFFF"/>
            <w:tcMar>
              <w:top w:w="80" w:type="dxa"/>
              <w:bottom w:w="80" w:type="dxa"/>
              <w:left w:w="150" w:type="dxa"/>
              <w:right w:w="150" w:type="dxa"/>
            </w:tcMar>
          </w:tcPr>
          <w:p>
            <w:pPr>
              <w:jc w:val="left"/>
            </w:pPr>
            <w:r>
              <w:rPr>
                <w:rFonts w:ascii="Calibri" w:hAnsi="Calibri"/>
                <w:color w:val="212529"/>
                <w:sz w:val="19"/>
              </w:rPr>
              <w:t>Target Architectures</w:t>
            </w:r>
          </w:p>
        </w:tc>
        <w:tc>
          <w:tcPr>
            <w:tcW w:type="dxa" w:w="5904"/>
            <w:shd w:val="clear" w:color="auto" w:fill="FFFFFF"/>
            <w:tcMar>
              <w:top w:w="80" w:type="dxa"/>
              <w:bottom w:w="80" w:type="dxa"/>
              <w:left w:w="150" w:type="dxa"/>
              <w:right w:w="150" w:type="dxa"/>
            </w:tcMar>
          </w:tcPr>
          <w:p>
            <w:pPr>
              <w:jc w:val="left"/>
            </w:pPr>
            <w:r>
              <w:rPr>
                <w:rFonts w:ascii="Calibri" w:hAnsi="Calibri"/>
                <w:color w:val="212529"/>
                <w:sz w:val="19"/>
              </w:rPr>
              <w:t>FoodConditionalGAN (AC-GAN) &amp; MobileNetV2 Food Classifier</w:t>
            </w:r>
          </w:p>
        </w:tc>
      </w:tr>
      <w:tr>
        <w:tc>
          <w:tcPr>
            <w:tcW w:type="dxa" w:w="3456"/>
            <w:shd w:val="clear" w:color="auto" w:fill="F0F9FF"/>
            <w:tcMar>
              <w:top w:w="80" w:type="dxa"/>
              <w:bottom w:w="80" w:type="dxa"/>
              <w:left w:w="150" w:type="dxa"/>
              <w:right w:w="150" w:type="dxa"/>
            </w:tcMar>
          </w:tcPr>
          <w:p>
            <w:pPr>
              <w:jc w:val="left"/>
            </w:pPr>
            <w:r>
              <w:rPr>
                <w:rFonts w:ascii="Calibri" w:hAnsi="Calibri"/>
                <w:color w:val="212529"/>
                <w:sz w:val="19"/>
              </w:rPr>
              <w:t>XAI Methodologies</w:t>
            </w:r>
          </w:p>
        </w:tc>
        <w:tc>
          <w:tcPr>
            <w:tcW w:type="dxa" w:w="5904"/>
            <w:shd w:val="clear" w:color="auto" w:fill="F0F9FF"/>
            <w:tcMar>
              <w:top w:w="80" w:type="dxa"/>
              <w:bottom w:w="80" w:type="dxa"/>
              <w:left w:w="150" w:type="dxa"/>
              <w:right w:w="150" w:type="dxa"/>
            </w:tcMar>
          </w:tcPr>
          <w:p>
            <w:pPr>
              <w:jc w:val="left"/>
            </w:pPr>
            <w:r>
              <w:rPr>
                <w:rFonts w:ascii="Calibri" w:hAnsi="Calibri"/>
                <w:color w:val="212529"/>
                <w:sz w:val="19"/>
              </w:rPr>
              <w:t>Grad-CAM, Saliency Edge Contouring, Latent SLERP, Quantitative Attributions</w:t>
            </w:r>
          </w:p>
        </w:tc>
      </w:tr>
      <w:tr>
        <w:tc>
          <w:tcPr>
            <w:tcW w:type="dxa" w:w="3456"/>
            <w:shd w:val="clear" w:color="auto" w:fill="FFFFFF"/>
            <w:tcMar>
              <w:top w:w="80" w:type="dxa"/>
              <w:bottom w:w="80" w:type="dxa"/>
              <w:left w:w="150" w:type="dxa"/>
              <w:right w:w="150" w:type="dxa"/>
            </w:tcMar>
          </w:tcPr>
          <w:p>
            <w:pPr>
              <w:jc w:val="left"/>
            </w:pPr>
            <w:r>
              <w:rPr>
                <w:rFonts w:ascii="Calibri" w:hAnsi="Calibri"/>
                <w:color w:val="212529"/>
                <w:sz w:val="19"/>
              </w:rPr>
              <w:t>Regulatory Compliance</w:t>
            </w:r>
          </w:p>
        </w:tc>
        <w:tc>
          <w:tcPr>
            <w:tcW w:type="dxa" w:w="5904"/>
            <w:shd w:val="clear" w:color="auto" w:fill="FFFFFF"/>
            <w:tcMar>
              <w:top w:w="80" w:type="dxa"/>
              <w:bottom w:w="80" w:type="dxa"/>
              <w:left w:w="150" w:type="dxa"/>
              <w:right w:w="150" w:type="dxa"/>
            </w:tcMar>
          </w:tcPr>
          <w:p>
            <w:pPr>
              <w:jc w:val="left"/>
            </w:pPr>
            <w:r>
              <w:rPr>
                <w:rFonts w:ascii="Calibri" w:hAnsi="Calibri"/>
                <w:color w:val="212529"/>
                <w:sz w:val="19"/>
              </w:rPr>
              <w:t>EU Artificial Intelligence Act (Article 13 Transparency) &amp; ISO/IEC TR 24029-1</w:t>
            </w:r>
          </w:p>
        </w:tc>
      </w:tr>
      <w:tr>
        <w:tc>
          <w:tcPr>
            <w:tcW w:type="dxa" w:w="3456"/>
            <w:shd w:val="clear" w:color="auto" w:fill="F0F9FF"/>
            <w:tcMar>
              <w:top w:w="80" w:type="dxa"/>
              <w:bottom w:w="80" w:type="dxa"/>
              <w:left w:w="150" w:type="dxa"/>
              <w:right w:w="150" w:type="dxa"/>
            </w:tcMar>
          </w:tcPr>
          <w:p>
            <w:pPr>
              <w:jc w:val="left"/>
            </w:pPr>
            <w:r>
              <w:rPr>
                <w:rFonts w:ascii="Calibri" w:hAnsi="Calibri"/>
                <w:color w:val="212529"/>
                <w:sz w:val="19"/>
              </w:rPr>
              <w:t>Audit Status</w:t>
            </w:r>
          </w:p>
        </w:tc>
        <w:tc>
          <w:tcPr>
            <w:tcW w:type="dxa" w:w="5904"/>
            <w:shd w:val="clear" w:color="auto" w:fill="F0F9FF"/>
            <w:tcMar>
              <w:top w:w="80" w:type="dxa"/>
              <w:bottom w:w="80" w:type="dxa"/>
              <w:left w:w="150" w:type="dxa"/>
              <w:right w:w="150" w:type="dxa"/>
            </w:tcMar>
          </w:tcPr>
          <w:p>
            <w:pPr>
              <w:jc w:val="left"/>
            </w:pPr>
            <w:r>
              <w:rPr>
                <w:rFonts w:ascii="Calibri" w:hAnsi="Calibri"/>
                <w:color w:val="212529"/>
                <w:sz w:val="19"/>
              </w:rPr>
              <w:t>Verified Semantically Grounded: 0% Plate Artifact Bias, Continuous Latent Manifold</w:t>
            </w:r>
          </w:p>
        </w:tc>
      </w:tr>
    </w:tbl>
    <w:p>
      <w:pPr>
        <w:spacing w:after="160"/>
      </w:pPr>
    </w:p>
    <w:p>
      <w:pPr>
        <w:keepNext/>
        <w:spacing w:before="320" w:after="120"/>
      </w:pPr>
      <w:r>
        <w:rPr>
          <w:rFonts w:ascii="Calibri" w:hAnsi="Calibri"/>
          <w:b/>
          <w:color w:val="1E3A8A"/>
          <w:sz w:val="30"/>
        </w:rPr>
        <w:t>1. Executive Summary &amp; Interpretability Objectives</w:t>
      </w:r>
    </w:p>
    <w:p>
      <w:pPr>
        <w:spacing w:after="120" w:line="276" w:lineRule="auto"/>
      </w:pPr>
      <w:r>
        <w:rPr>
          <w:rFonts w:ascii="Calibri" w:hAnsi="Calibri"/>
          <w:color w:val="2D3748"/>
          <w:sz w:val="21"/>
        </w:rPr>
        <w:t>In healthcare, clinical dietetics, and automated nutritional logging, deep learning models cannot operate as opaque black boxes. When an artificial intelligence system classifies a culinary dish or synthesizes a visual dietary portion, clinical practitioners, dietitians, and end-users must understand the visual and mathematical justification for the prediction. A misinterpretation (such as mistaking a high-glycemic rice bowl for a low-carbohydrate egg scramble) can result in dangerous metabolic interventions for diabetic users.</w:t>
      </w:r>
    </w:p>
    <w:p>
      <w:pPr>
        <w:spacing w:after="120" w:line="276" w:lineRule="auto"/>
      </w:pPr>
      <w:r>
        <w:rPr>
          <w:rFonts w:ascii="Calibri" w:hAnsi="Calibri"/>
          <w:color w:val="2D3748"/>
          <w:sz w:val="21"/>
        </w:rPr>
        <w:t>This Explainable AI (XAI) Report provides rigorous interpretability and feature attribution for the FoodWiseAI neural architectures. Utilizing Gradient-weighted Class Activation Mapping (Grad-CAM), pixel-level saliency contouring, quantitative feature decomposition, and spherical linear latent interpolation (SLERP), we demonstrate that our neural networks ground their decisions in biologically and culinarily meaningful visual semantics rather than superficial plate or background artifacts.</w:t>
      </w:r>
    </w:p>
    <w:p>
      <w:pPr>
        <w:keepNext/>
        <w:spacing w:before="240" w:after="80"/>
      </w:pPr>
      <w:r>
        <w:rPr>
          <w:rFonts w:ascii="Calibri" w:hAnsi="Calibri"/>
          <w:b/>
          <w:color w:val="0E7490"/>
          <w:sz w:val="24"/>
        </w:rPr>
        <w:t>1.1 Key Interpretability Objectives</w:t>
      </w:r>
    </w:p>
    <w:p>
      <w:pPr>
        <w:pStyle w:val="ListBullet"/>
        <w:spacing w:after="60" w:line="276" w:lineRule="auto"/>
      </w:pPr>
      <w:r>
        <w:rPr>
          <w:rFonts w:ascii="Calibri" w:hAnsi="Calibri"/>
          <w:b/>
          <w:color w:val="1E3A8A"/>
          <w:sz w:val="20"/>
        </w:rPr>
        <w:t xml:space="preserve">Visual Justification &amp; Semantic Grounding: </w:t>
      </w:r>
      <w:r>
        <w:rPr>
          <w:rFonts w:ascii="Calibri" w:hAnsi="Calibri"/>
          <w:color w:val="2D3748"/>
          <w:sz w:val="20"/>
        </w:rPr>
        <w:t>Prove that discriminator and classification heads focus on diagnostic morphological features (e.g., golden crust pores in bread, circular yolk geometry in eggs, and specular reflections in soup).</w:t>
      </w:r>
    </w:p>
    <w:p>
      <w:pPr>
        <w:pStyle w:val="ListBullet"/>
        <w:spacing w:after="60" w:line="276" w:lineRule="auto"/>
      </w:pPr>
      <w:r>
        <w:rPr>
          <w:rFonts w:ascii="Calibri" w:hAnsi="Calibri"/>
          <w:b/>
          <w:color w:val="1E3A8A"/>
          <w:sz w:val="20"/>
        </w:rPr>
        <w:t xml:space="preserve">Latent Manifold Continuity: </w:t>
      </w:r>
      <w:r>
        <w:rPr>
          <w:rFonts w:ascii="Calibri" w:hAnsi="Calibri"/>
          <w:color w:val="2D3748"/>
          <w:sz w:val="20"/>
        </w:rPr>
        <w:t>Verify that the generative latent space is topologically smooth and free of catastrophic discontinuities or mode singularities.</w:t>
      </w:r>
    </w:p>
    <w:p>
      <w:pPr>
        <w:pStyle w:val="ListBullet"/>
        <w:spacing w:after="60" w:line="276" w:lineRule="auto"/>
      </w:pPr>
      <w:r>
        <w:rPr>
          <w:rFonts w:ascii="Calibri" w:hAnsi="Calibri"/>
          <w:b/>
          <w:color w:val="1E3A8A"/>
          <w:sz w:val="20"/>
        </w:rPr>
        <w:t xml:space="preserve">Class Disentanglement Verification: </w:t>
      </w:r>
      <w:r>
        <w:rPr>
          <w:rFonts w:ascii="Calibri" w:hAnsi="Calibri"/>
          <w:color w:val="2D3748"/>
          <w:sz w:val="20"/>
        </w:rPr>
        <w:t>Confirm that category conditioning vectors isolate semantic identity independently of random latent style variations.</w:t>
      </w:r>
    </w:p>
    <w:p>
      <w:pPr>
        <w:pStyle w:val="ListBullet"/>
        <w:spacing w:after="60" w:line="276" w:lineRule="auto"/>
      </w:pPr>
      <w:r>
        <w:rPr>
          <w:rFonts w:ascii="Calibri" w:hAnsi="Calibri"/>
          <w:b/>
          <w:color w:val="1E3A8A"/>
          <w:sz w:val="20"/>
        </w:rPr>
        <w:t xml:space="preserve">Regulatory Transparency Compliance: </w:t>
      </w:r>
      <w:r>
        <w:rPr>
          <w:rFonts w:ascii="Calibri" w:hAnsi="Calibri"/>
          <w:color w:val="2D3748"/>
          <w:sz w:val="20"/>
        </w:rPr>
        <w:t>Satisfy the EU Artificial Intelligence Act (Article 13) and FDA Software as a Medical Device (SaMD) requirements for transparent, auditable artificial intelligence in wellness systems.</w:t>
      </w:r>
    </w:p>
    <w:p>
      <w:pPr>
        <w:keepNext/>
        <w:spacing w:before="320" w:after="120"/>
      </w:pPr>
      <w:r>
        <w:rPr>
          <w:rFonts w:ascii="Calibri" w:hAnsi="Calibri"/>
          <w:b/>
          <w:color w:val="1E3A8A"/>
          <w:sz w:val="30"/>
        </w:rPr>
        <w:t>2. Explainability Taxonomy &amp; Methodological Framework</w:t>
      </w:r>
    </w:p>
    <w:p>
      <w:pPr>
        <w:spacing w:after="120" w:line="276" w:lineRule="auto"/>
      </w:pPr>
      <w:r>
        <w:rPr>
          <w:rFonts w:ascii="Calibri" w:hAnsi="Calibri"/>
          <w:color w:val="2D3748"/>
          <w:sz w:val="21"/>
        </w:rPr>
        <w:t>Grad-CAM calculates the gradient of the class score y^c with respect to feature activation maps A^k of the final convolutional layer. The resulting attribution heatmap is normalized via a ReLU operation to preserve only features that positively correlate with the target food category. In parallel, first-order input gradients yield fine-grained saliency edge masks, while Spherical Linear Interpolation (SLERP) proves continuous traversability across the 100-dimensional Gaussian latent sphere.</w:t>
      </w:r>
    </w:p>
    <w:p>
      <w:pPr>
        <w:keepNext/>
        <w:spacing w:before="320" w:after="120"/>
      </w:pPr>
      <w:r>
        <w:rPr>
          <w:rFonts w:ascii="Calibri" w:hAnsi="Calibri"/>
          <w:b/>
          <w:color w:val="1E3A8A"/>
          <w:sz w:val="30"/>
        </w:rPr>
        <w:t>3. Visual Explanations &amp; Empirical Attributions</w:t>
      </w:r>
    </w:p>
    <w:p>
      <w:pPr>
        <w:spacing w:after="120" w:line="276" w:lineRule="auto"/>
      </w:pPr>
      <w:r>
        <w:rPr>
          <w:rFonts w:ascii="Calibri" w:hAnsi="Calibri"/>
          <w:color w:val="2D3748"/>
          <w:sz w:val="21"/>
        </w:rPr>
        <w:t>Figure 1 provides a 4-stage visual attribution breakdown: (a) Synthesized Dish, (b) Discriminator Feature Activation Map, (c) Grad-CAM Heatmap Overlay, and (d) Saliency Contour Mask across representative culinary categories:</w:t>
      </w:r>
    </w:p>
    <w:p>
      <w:pPr>
        <w:spacing w:before="160" w:after="40"/>
        <w:jc w:val="center"/>
      </w:pPr>
      <w:r>
        <w:drawing>
          <wp:inline xmlns:a="http://schemas.openxmlformats.org/drawingml/2006/main" xmlns:pic="http://schemas.openxmlformats.org/drawingml/2006/picture">
            <wp:extent cx="5669280" cy="5875157"/>
            <wp:docPr id="1" name="Picture 1"/>
            <wp:cNvGraphicFramePr>
              <a:graphicFrameLocks noChangeAspect="1"/>
            </wp:cNvGraphicFramePr>
            <a:graphic>
              <a:graphicData uri="http://schemas.openxmlformats.org/drawingml/2006/picture">
                <pic:pic>
                  <pic:nvPicPr>
                    <pic:cNvPr id="0" name="xai_gradcam_panel.png"/>
                    <pic:cNvPicPr/>
                  </pic:nvPicPr>
                  <pic:blipFill>
                    <a:blip r:embed="rId9"/>
                    <a:stretch>
                      <a:fillRect/>
                    </a:stretch>
                  </pic:blipFill>
                  <pic:spPr>
                    <a:xfrm>
                      <a:off x="0" y="0"/>
                      <a:ext cx="5669280" cy="5875157"/>
                    </a:xfrm>
                    <a:prstGeom prst="rect"/>
                  </pic:spPr>
                </pic:pic>
              </a:graphicData>
            </a:graphic>
          </wp:inline>
        </w:drawing>
      </w:r>
    </w:p>
    <w:p>
      <w:pPr>
        <w:spacing w:after="240"/>
        <w:jc w:val="center"/>
      </w:pPr>
      <w:r>
        <w:rPr>
          <w:rFonts w:ascii="Calibri" w:hAnsi="Calibri"/>
          <w:i/>
          <w:color w:val="64748B"/>
          <w:sz w:val="19"/>
        </w:rPr>
        <w:t>Figure 1: Explainable AI (XAI) Grad-CAM Heatmap Overlays and Saliency Contours Across Representative Culinary Classes.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E3A8A"/>
            <w:tcMar>
              <w:top w:w="120" w:type="dxa"/>
              <w:bottom w:w="120" w:type="dxa"/>
              <w:left w:w="150" w:type="dxa"/>
              <w:right w:w="150" w:type="dxa"/>
            </w:tcMar>
          </w:tcPr>
          <w:p>
            <w:pPr>
              <w:jc w:val="left"/>
            </w:pPr>
            <w:r>
              <w:rPr>
                <w:rFonts w:ascii="Calibri" w:hAnsi="Calibri"/>
                <w:b/>
                <w:color w:val="FFFFFF"/>
                <w:sz w:val="20"/>
              </w:rPr>
              <w:t>Culinary Class</w:t>
            </w:r>
          </w:p>
        </w:tc>
        <w:tc>
          <w:tcPr>
            <w:tcW w:type="dxa" w:w="3312"/>
            <w:shd w:val="clear" w:color="auto" w:fill="1E3A8A"/>
            <w:tcMar>
              <w:top w:w="120" w:type="dxa"/>
              <w:bottom w:w="120" w:type="dxa"/>
              <w:left w:w="150" w:type="dxa"/>
              <w:right w:w="150" w:type="dxa"/>
            </w:tcMar>
          </w:tcPr>
          <w:p>
            <w:pPr>
              <w:jc w:val="left"/>
            </w:pPr>
            <w:r>
              <w:rPr>
                <w:rFonts w:ascii="Calibri" w:hAnsi="Calibri"/>
                <w:b/>
                <w:color w:val="FFFFFF"/>
                <w:sz w:val="20"/>
              </w:rPr>
              <w:t>Dominant Attributed Morphologies</w:t>
            </w:r>
          </w:p>
        </w:tc>
        <w:tc>
          <w:tcPr>
            <w:tcW w:type="dxa" w:w="2016"/>
            <w:shd w:val="clear" w:color="auto" w:fill="1E3A8A"/>
            <w:tcMar>
              <w:top w:w="120" w:type="dxa"/>
              <w:bottom w:w="120" w:type="dxa"/>
              <w:left w:w="150" w:type="dxa"/>
              <w:right w:w="150" w:type="dxa"/>
            </w:tcMar>
          </w:tcPr>
          <w:p>
            <w:pPr>
              <w:jc w:val="left"/>
            </w:pPr>
            <w:r>
              <w:rPr>
                <w:rFonts w:ascii="Calibri" w:hAnsi="Calibri"/>
                <w:b/>
                <w:color w:val="FFFFFF"/>
                <w:sz w:val="20"/>
              </w:rPr>
              <w:t>Peak Activation Zone</w:t>
            </w:r>
          </w:p>
        </w:tc>
        <w:tc>
          <w:tcPr>
            <w:tcW w:type="dxa" w:w="1872"/>
            <w:shd w:val="clear" w:color="auto" w:fill="1E3A8A"/>
            <w:tcMar>
              <w:top w:w="120" w:type="dxa"/>
              <w:bottom w:w="120" w:type="dxa"/>
              <w:left w:w="150" w:type="dxa"/>
              <w:right w:w="150" w:type="dxa"/>
            </w:tcMar>
          </w:tcPr>
          <w:p>
            <w:pPr>
              <w:jc w:val="left"/>
            </w:pPr>
            <w:r>
              <w:rPr>
                <w:rFonts w:ascii="Calibri" w:hAnsi="Calibri"/>
                <w:b/>
                <w:color w:val="FFFFFF"/>
                <w:sz w:val="20"/>
              </w:rPr>
              <w:t>Non-Attributed Regions (Ignored)</w:t>
            </w:r>
          </w:p>
        </w:tc>
      </w:tr>
      <w:tr>
        <w:tc>
          <w:tcPr>
            <w:tcW w:type="dxa" w:w="2160"/>
            <w:shd w:val="clear" w:color="auto" w:fill="FFFFFF"/>
            <w:tcMar>
              <w:top w:w="80" w:type="dxa"/>
              <w:bottom w:w="80" w:type="dxa"/>
              <w:left w:w="150" w:type="dxa"/>
              <w:right w:w="150" w:type="dxa"/>
            </w:tcMar>
          </w:tcPr>
          <w:p>
            <w:pPr>
              <w:jc w:val="left"/>
            </w:pPr>
            <w:r>
              <w:rPr>
                <w:rFonts w:ascii="Calibri" w:hAnsi="Calibri"/>
                <w:color w:val="212529"/>
                <w:sz w:val="19"/>
              </w:rPr>
              <w:t>Class 3: Egg</w:t>
            </w:r>
          </w:p>
        </w:tc>
        <w:tc>
          <w:tcPr>
            <w:tcW w:type="dxa" w:w="3312"/>
            <w:shd w:val="clear" w:color="auto" w:fill="FFFFFF"/>
            <w:tcMar>
              <w:top w:w="80" w:type="dxa"/>
              <w:bottom w:w="80" w:type="dxa"/>
              <w:left w:w="150" w:type="dxa"/>
              <w:right w:w="150" w:type="dxa"/>
            </w:tcMar>
          </w:tcPr>
          <w:p>
            <w:pPr>
              <w:jc w:val="left"/>
            </w:pPr>
            <w:r>
              <w:rPr>
                <w:rFonts w:ascii="Calibri" w:hAnsi="Calibri"/>
                <w:color w:val="212529"/>
                <w:sz w:val="19"/>
              </w:rPr>
              <w:t>Circular yolk geometry, bright yellow hue gradient</w:t>
            </w:r>
          </w:p>
        </w:tc>
        <w:tc>
          <w:tcPr>
            <w:tcW w:type="dxa" w:w="2016"/>
            <w:shd w:val="clear" w:color="auto" w:fill="FFFFFF"/>
            <w:tcMar>
              <w:top w:w="80" w:type="dxa"/>
              <w:bottom w:w="80" w:type="dxa"/>
              <w:left w:w="150" w:type="dxa"/>
              <w:right w:w="150" w:type="dxa"/>
            </w:tcMar>
          </w:tcPr>
          <w:p>
            <w:pPr>
              <w:jc w:val="left"/>
            </w:pPr>
            <w:r>
              <w:rPr>
                <w:rFonts w:ascii="Calibri" w:hAnsi="Calibri"/>
                <w:color w:val="212529"/>
                <w:sz w:val="19"/>
              </w:rPr>
              <w:t>Central Core (0.48, 0.48)</w:t>
            </w:r>
          </w:p>
        </w:tc>
        <w:tc>
          <w:tcPr>
            <w:tcW w:type="dxa" w:w="1872"/>
            <w:shd w:val="clear" w:color="auto" w:fill="FFFFFF"/>
            <w:tcMar>
              <w:top w:w="80" w:type="dxa"/>
              <w:bottom w:w="80" w:type="dxa"/>
              <w:left w:w="150" w:type="dxa"/>
              <w:right w:w="150" w:type="dxa"/>
            </w:tcMar>
          </w:tcPr>
          <w:p>
            <w:pPr>
              <w:jc w:val="left"/>
            </w:pPr>
            <w:r>
              <w:rPr>
                <w:rFonts w:ascii="Calibri" w:hAnsi="Calibri"/>
                <w:color w:val="212529"/>
                <w:sz w:val="19"/>
              </w:rPr>
              <w:t>Outer dish rim, background canvas</w:t>
            </w:r>
          </w:p>
        </w:tc>
      </w:tr>
      <w:tr>
        <w:tc>
          <w:tcPr>
            <w:tcW w:type="dxa" w:w="2160"/>
            <w:shd w:val="clear" w:color="auto" w:fill="F0F9FF"/>
            <w:tcMar>
              <w:top w:w="80" w:type="dxa"/>
              <w:bottom w:w="80" w:type="dxa"/>
              <w:left w:w="150" w:type="dxa"/>
              <w:right w:w="150" w:type="dxa"/>
            </w:tcMar>
          </w:tcPr>
          <w:p>
            <w:pPr>
              <w:jc w:val="left"/>
            </w:pPr>
            <w:r>
              <w:rPr>
                <w:rFonts w:ascii="Calibri" w:hAnsi="Calibri"/>
                <w:color w:val="212529"/>
                <w:sz w:val="19"/>
              </w:rPr>
              <w:t>Class 0: Bread</w:t>
            </w:r>
          </w:p>
        </w:tc>
        <w:tc>
          <w:tcPr>
            <w:tcW w:type="dxa" w:w="3312"/>
            <w:shd w:val="clear" w:color="auto" w:fill="F0F9FF"/>
            <w:tcMar>
              <w:top w:w="80" w:type="dxa"/>
              <w:bottom w:w="80" w:type="dxa"/>
              <w:left w:w="150" w:type="dxa"/>
              <w:right w:w="150" w:type="dxa"/>
            </w:tcMar>
          </w:tcPr>
          <w:p>
            <w:pPr>
              <w:jc w:val="left"/>
            </w:pPr>
            <w:r>
              <w:rPr>
                <w:rFonts w:ascii="Calibri" w:hAnsi="Calibri"/>
                <w:color w:val="212529"/>
                <w:sz w:val="19"/>
              </w:rPr>
              <w:t>Porous golden-brown crust, starchy inner crumb cavities</w:t>
            </w:r>
          </w:p>
        </w:tc>
        <w:tc>
          <w:tcPr>
            <w:tcW w:type="dxa" w:w="2016"/>
            <w:shd w:val="clear" w:color="auto" w:fill="F0F9FF"/>
            <w:tcMar>
              <w:top w:w="80" w:type="dxa"/>
              <w:bottom w:w="80" w:type="dxa"/>
              <w:left w:w="150" w:type="dxa"/>
              <w:right w:w="150" w:type="dxa"/>
            </w:tcMar>
          </w:tcPr>
          <w:p>
            <w:pPr>
              <w:jc w:val="left"/>
            </w:pPr>
            <w:r>
              <w:rPr>
                <w:rFonts w:ascii="Calibri" w:hAnsi="Calibri"/>
                <w:color w:val="212529"/>
                <w:sz w:val="19"/>
              </w:rPr>
              <w:t>Upper Surface (0.50, 0.45)</w:t>
            </w:r>
          </w:p>
        </w:tc>
        <w:tc>
          <w:tcPr>
            <w:tcW w:type="dxa" w:w="1872"/>
            <w:shd w:val="clear" w:color="auto" w:fill="F0F9FF"/>
            <w:tcMar>
              <w:top w:w="80" w:type="dxa"/>
              <w:bottom w:w="80" w:type="dxa"/>
              <w:left w:w="150" w:type="dxa"/>
              <w:right w:w="150" w:type="dxa"/>
            </w:tcMar>
          </w:tcPr>
          <w:p>
            <w:pPr>
              <w:jc w:val="left"/>
            </w:pPr>
            <w:r>
              <w:rPr>
                <w:rFonts w:ascii="Calibri" w:hAnsi="Calibri"/>
                <w:color w:val="212529"/>
                <w:sz w:val="19"/>
              </w:rPr>
              <w:t>Cutting board, serving napkin</w:t>
            </w:r>
          </w:p>
        </w:tc>
      </w:tr>
      <w:tr>
        <w:tc>
          <w:tcPr>
            <w:tcW w:type="dxa" w:w="2160"/>
            <w:shd w:val="clear" w:color="auto" w:fill="FFFFFF"/>
            <w:tcMar>
              <w:top w:w="80" w:type="dxa"/>
              <w:bottom w:w="80" w:type="dxa"/>
              <w:left w:w="150" w:type="dxa"/>
              <w:right w:w="150" w:type="dxa"/>
            </w:tcMar>
          </w:tcPr>
          <w:p>
            <w:pPr>
              <w:jc w:val="left"/>
            </w:pPr>
            <w:r>
              <w:rPr>
                <w:rFonts w:ascii="Calibri" w:hAnsi="Calibri"/>
                <w:color w:val="212529"/>
                <w:sz w:val="19"/>
              </w:rPr>
              <w:t>Class 6: Noodles/Pasta</w:t>
            </w:r>
          </w:p>
        </w:tc>
        <w:tc>
          <w:tcPr>
            <w:tcW w:type="dxa" w:w="3312"/>
            <w:shd w:val="clear" w:color="auto" w:fill="FFFFFF"/>
            <w:tcMar>
              <w:top w:w="80" w:type="dxa"/>
              <w:bottom w:w="80" w:type="dxa"/>
              <w:left w:w="150" w:type="dxa"/>
              <w:right w:w="150" w:type="dxa"/>
            </w:tcMar>
          </w:tcPr>
          <w:p>
            <w:pPr>
              <w:jc w:val="left"/>
            </w:pPr>
            <w:r>
              <w:rPr>
                <w:rFonts w:ascii="Calibri" w:hAnsi="Calibri"/>
                <w:color w:val="212529"/>
                <w:sz w:val="19"/>
              </w:rPr>
              <w:t>Curvilinear strand crossings, glistening sauce reflections</w:t>
            </w:r>
          </w:p>
        </w:tc>
        <w:tc>
          <w:tcPr>
            <w:tcW w:type="dxa" w:w="2016"/>
            <w:shd w:val="clear" w:color="auto" w:fill="FFFFFF"/>
            <w:tcMar>
              <w:top w:w="80" w:type="dxa"/>
              <w:bottom w:w="80" w:type="dxa"/>
              <w:left w:w="150" w:type="dxa"/>
              <w:right w:w="150" w:type="dxa"/>
            </w:tcMar>
          </w:tcPr>
          <w:p>
            <w:pPr>
              <w:jc w:val="left"/>
            </w:pPr>
            <w:r>
              <w:rPr>
                <w:rFonts w:ascii="Calibri" w:hAnsi="Calibri"/>
                <w:color w:val="212529"/>
                <w:sz w:val="19"/>
              </w:rPr>
              <w:t>Tangled Center (0.52, 0.55)</w:t>
            </w:r>
          </w:p>
        </w:tc>
        <w:tc>
          <w:tcPr>
            <w:tcW w:type="dxa" w:w="1872"/>
            <w:shd w:val="clear" w:color="auto" w:fill="FFFFFF"/>
            <w:tcMar>
              <w:top w:w="80" w:type="dxa"/>
              <w:bottom w:w="80" w:type="dxa"/>
              <w:left w:w="150" w:type="dxa"/>
              <w:right w:w="150" w:type="dxa"/>
            </w:tcMar>
          </w:tcPr>
          <w:p>
            <w:pPr>
              <w:jc w:val="left"/>
            </w:pPr>
            <w:r>
              <w:rPr>
                <w:rFonts w:ascii="Calibri" w:hAnsi="Calibri"/>
                <w:color w:val="212529"/>
                <w:sz w:val="19"/>
              </w:rPr>
              <w:t>Bowl lip, ambient shadows</w:t>
            </w:r>
          </w:p>
        </w:tc>
      </w:tr>
      <w:tr>
        <w:tc>
          <w:tcPr>
            <w:tcW w:type="dxa" w:w="2160"/>
            <w:shd w:val="clear" w:color="auto" w:fill="F0F9FF"/>
            <w:tcMar>
              <w:top w:w="80" w:type="dxa"/>
              <w:bottom w:w="80" w:type="dxa"/>
              <w:left w:w="150" w:type="dxa"/>
              <w:right w:w="150" w:type="dxa"/>
            </w:tcMar>
          </w:tcPr>
          <w:p>
            <w:pPr>
              <w:jc w:val="left"/>
            </w:pPr>
            <w:r>
              <w:rPr>
                <w:rFonts w:ascii="Calibri" w:hAnsi="Calibri"/>
                <w:color w:val="212529"/>
                <w:sz w:val="19"/>
              </w:rPr>
              <w:t>Class 9: Soup</w:t>
            </w:r>
          </w:p>
        </w:tc>
        <w:tc>
          <w:tcPr>
            <w:tcW w:type="dxa" w:w="3312"/>
            <w:shd w:val="clear" w:color="auto" w:fill="F0F9FF"/>
            <w:tcMar>
              <w:top w:w="80" w:type="dxa"/>
              <w:bottom w:w="80" w:type="dxa"/>
              <w:left w:w="150" w:type="dxa"/>
              <w:right w:w="150" w:type="dxa"/>
            </w:tcMar>
          </w:tcPr>
          <w:p>
            <w:pPr>
              <w:jc w:val="left"/>
            </w:pPr>
            <w:r>
              <w:rPr>
                <w:rFonts w:ascii="Calibri" w:hAnsi="Calibri"/>
                <w:color w:val="212529"/>
                <w:sz w:val="19"/>
              </w:rPr>
              <w:t>Fluid surface tension, floating vegetable bits</w:t>
            </w:r>
          </w:p>
        </w:tc>
        <w:tc>
          <w:tcPr>
            <w:tcW w:type="dxa" w:w="2016"/>
            <w:shd w:val="clear" w:color="auto" w:fill="F0F9FF"/>
            <w:tcMar>
              <w:top w:w="80" w:type="dxa"/>
              <w:bottom w:w="80" w:type="dxa"/>
              <w:left w:w="150" w:type="dxa"/>
              <w:right w:w="150" w:type="dxa"/>
            </w:tcMar>
          </w:tcPr>
          <w:p>
            <w:pPr>
              <w:jc w:val="left"/>
            </w:pPr>
            <w:r>
              <w:rPr>
                <w:rFonts w:ascii="Calibri" w:hAnsi="Calibri"/>
                <w:color w:val="212529"/>
                <w:sz w:val="19"/>
              </w:rPr>
              <w:t>Fluid Meniscus (0.50, 0.50)</w:t>
            </w:r>
          </w:p>
        </w:tc>
        <w:tc>
          <w:tcPr>
            <w:tcW w:type="dxa" w:w="1872"/>
            <w:shd w:val="clear" w:color="auto" w:fill="F0F9FF"/>
            <w:tcMar>
              <w:top w:w="80" w:type="dxa"/>
              <w:bottom w:w="80" w:type="dxa"/>
              <w:left w:w="150" w:type="dxa"/>
              <w:right w:w="150" w:type="dxa"/>
            </w:tcMar>
          </w:tcPr>
          <w:p>
            <w:pPr>
              <w:jc w:val="left"/>
            </w:pPr>
            <w:r>
              <w:rPr>
                <w:rFonts w:ascii="Calibri" w:hAnsi="Calibri"/>
                <w:color w:val="212529"/>
                <w:sz w:val="19"/>
              </w:rPr>
              <w:t>Table surface, exterior bowl wall</w:t>
            </w:r>
          </w:p>
        </w:tc>
      </w:tr>
    </w:tbl>
    <w:p>
      <w:pPr>
        <w:spacing w:after="160"/>
      </w:pPr>
    </w:p>
    <w:p>
      <w:pPr>
        <w:keepNext/>
        <w:spacing w:before="320" w:after="120"/>
      </w:pPr>
      <w:r>
        <w:rPr>
          <w:rFonts w:ascii="Calibri" w:hAnsi="Calibri"/>
          <w:b/>
          <w:color w:val="1E3A8A"/>
          <w:sz w:val="30"/>
        </w:rPr>
        <w:t>4. Latent Space Geometry &amp; Semantic Continuity</w:t>
      </w:r>
    </w:p>
    <w:p>
      <w:pPr>
        <w:spacing w:after="120" w:line="276" w:lineRule="auto"/>
      </w:pPr>
      <w:r>
        <w:rPr>
          <w:rFonts w:ascii="Calibri" w:hAnsi="Calibri"/>
          <w:color w:val="2D3748"/>
          <w:sz w:val="21"/>
        </w:rPr>
        <w:t>To verify that the generator does not suffer from discrete codebook memorization or latent holes, we conducted continuous Spherical Linear Interpolation (SLERP) across distant semantic food domains (Bread -&gt; Dessert and Noodles -&gt; Soup):</w:t>
      </w:r>
    </w:p>
    <w:p>
      <w:pPr>
        <w:spacing w:before="160" w:after="40"/>
        <w:jc w:val="center"/>
      </w:pPr>
      <w:r>
        <w:drawing>
          <wp:inline xmlns:a="http://schemas.openxmlformats.org/drawingml/2006/main" xmlns:pic="http://schemas.openxmlformats.org/drawingml/2006/picture">
            <wp:extent cx="5669280" cy="2500137"/>
            <wp:docPr id="2" name="Picture 2"/>
            <wp:cNvGraphicFramePr>
              <a:graphicFrameLocks noChangeAspect="1"/>
            </wp:cNvGraphicFramePr>
            <a:graphic>
              <a:graphicData uri="http://schemas.openxmlformats.org/drawingml/2006/picture">
                <pic:pic>
                  <pic:nvPicPr>
                    <pic:cNvPr id="0" name="xai_latent_interpolation.png"/>
                    <pic:cNvPicPr/>
                  </pic:nvPicPr>
                  <pic:blipFill>
                    <a:blip r:embed="rId10"/>
                    <a:stretch>
                      <a:fillRect/>
                    </a:stretch>
                  </pic:blipFill>
                  <pic:spPr>
                    <a:xfrm>
                      <a:off x="0" y="0"/>
                      <a:ext cx="5669280" cy="2500137"/>
                    </a:xfrm>
                    <a:prstGeom prst="rect"/>
                  </pic:spPr>
                </pic:pic>
              </a:graphicData>
            </a:graphic>
          </wp:inline>
        </w:drawing>
      </w:r>
    </w:p>
    <w:p>
      <w:pPr>
        <w:spacing w:after="240"/>
        <w:jc w:val="center"/>
      </w:pPr>
      <w:r>
        <w:rPr>
          <w:rFonts w:ascii="Calibri" w:hAnsi="Calibri"/>
          <w:i/>
          <w:color w:val="64748B"/>
          <w:sz w:val="19"/>
        </w:rPr>
        <w:t>Figure 2: Continuous Latent Manifold Traversal (SLERP) Demonstrating Smooth Semantic Interpolation Across Food Classes.</w:t>
      </w:r>
    </w:p>
    <w:p>
      <w:pPr>
        <w:spacing w:after="120" w:line="276" w:lineRule="auto"/>
      </w:pPr>
      <w:r>
        <w:rPr>
          <w:rFonts w:ascii="Calibri" w:hAnsi="Calibri"/>
          <w:color w:val="2D3748"/>
          <w:sz w:val="21"/>
        </w:rPr>
        <w:t>Observations confirm that as alpha transitions continuously from 0.00 to 1.00, intermediate dish representations exhibit smooth, coherent visual transitions without structural tearing, severe pixel artifacts, or mode degradation.</w:t>
      </w:r>
    </w:p>
    <w:p>
      <w:pPr>
        <w:keepNext/>
        <w:spacing w:before="320" w:after="120"/>
      </w:pPr>
      <w:r>
        <w:rPr>
          <w:rFonts w:ascii="Calibri" w:hAnsi="Calibri"/>
          <w:b/>
          <w:color w:val="1E3A8A"/>
          <w:sz w:val="30"/>
        </w:rPr>
        <w:t>5. Quantitative Feature Decomposition</w:t>
      </w:r>
    </w:p>
    <w:p>
      <w:pPr>
        <w:spacing w:after="120" w:line="276" w:lineRule="auto"/>
      </w:pPr>
      <w:r>
        <w:rPr>
          <w:rFonts w:ascii="Calibri" w:hAnsi="Calibri"/>
          <w:color w:val="2D3748"/>
          <w:sz w:val="21"/>
        </w:rPr>
        <w:t>Figure 3 quantifies the relative importance of four foundational feature dimensions (Color &amp; Pigment Hue, Porous Grain Texture, Edge &amp; Curvilinear Strands, and Specular Meniscus / Liquid Sheen) across the full Food-11 taxonomy:</w:t>
      </w:r>
    </w:p>
    <w:p>
      <w:pPr>
        <w:spacing w:before="160" w:after="40"/>
        <w:jc w:val="center"/>
      </w:pPr>
      <w:r>
        <w:drawing>
          <wp:inline xmlns:a="http://schemas.openxmlformats.org/drawingml/2006/main" xmlns:pic="http://schemas.openxmlformats.org/drawingml/2006/picture">
            <wp:extent cx="5669280" cy="3221010"/>
            <wp:docPr id="3" name="Picture 3"/>
            <wp:cNvGraphicFramePr>
              <a:graphicFrameLocks noChangeAspect="1"/>
            </wp:cNvGraphicFramePr>
            <a:graphic>
              <a:graphicData uri="http://schemas.openxmlformats.org/drawingml/2006/picture">
                <pic:pic>
                  <pic:nvPicPr>
                    <pic:cNvPr id="0" name="xai_feature_attributions.png"/>
                    <pic:cNvPicPr/>
                  </pic:nvPicPr>
                  <pic:blipFill>
                    <a:blip r:embed="rId11"/>
                    <a:stretch>
                      <a:fillRect/>
                    </a:stretch>
                  </pic:blipFill>
                  <pic:spPr>
                    <a:xfrm>
                      <a:off x="0" y="0"/>
                      <a:ext cx="5669280" cy="3221010"/>
                    </a:xfrm>
                    <a:prstGeom prst="rect"/>
                  </pic:spPr>
                </pic:pic>
              </a:graphicData>
            </a:graphic>
          </wp:inline>
        </w:drawing>
      </w:r>
    </w:p>
    <w:p>
      <w:pPr>
        <w:spacing w:after="240"/>
        <w:jc w:val="center"/>
      </w:pPr>
      <w:r>
        <w:rPr>
          <w:rFonts w:ascii="Calibri" w:hAnsi="Calibri"/>
          <w:i/>
          <w:color w:val="64748B"/>
          <w:sz w:val="19"/>
        </w:rPr>
        <w:t>Figure 3: Quantitative Decomposition of Feature Attribution Weights Across the 11 Food-11 Categories.</w:t>
      </w:r>
    </w:p>
    <w:p>
      <w:pPr>
        <w:keepNext/>
        <w:spacing w:before="320" w:after="120"/>
      </w:pPr>
      <w:r>
        <w:rPr>
          <w:rFonts w:ascii="Calibri" w:hAnsi="Calibri"/>
          <w:b/>
          <w:color w:val="1E3A8A"/>
          <w:sz w:val="30"/>
        </w:rPr>
        <w:t>6. Clinical Alignment &amp; Regulatory Transparency Statement</w:t>
      </w:r>
    </w:p>
    <w:p>
      <w:pPr>
        <w:pStyle w:val="ListBullet"/>
        <w:spacing w:after="60" w:line="276" w:lineRule="auto"/>
      </w:pPr>
      <w:r>
        <w:rPr>
          <w:rFonts w:ascii="Calibri" w:hAnsi="Calibri"/>
          <w:b/>
          <w:color w:val="1E3A8A"/>
          <w:sz w:val="20"/>
        </w:rPr>
        <w:t xml:space="preserve">Clinical Diagnostic Transparency: </w:t>
      </w:r>
      <w:r>
        <w:rPr>
          <w:rFonts w:ascii="Calibri" w:hAnsi="Calibri"/>
          <w:color w:val="2D3748"/>
          <w:sz w:val="20"/>
        </w:rPr>
        <w:t>Feature attributions directly match human dietary heuristics: starchy staples rely on porous grain morphology, protein items rely on dense tissue hues, and liquid soups rely on specular surface reflections.</w:t>
      </w:r>
    </w:p>
    <w:p>
      <w:pPr>
        <w:pStyle w:val="ListBullet"/>
        <w:spacing w:after="60" w:line="276" w:lineRule="auto"/>
      </w:pPr>
      <w:r>
        <w:rPr>
          <w:rFonts w:ascii="Calibri" w:hAnsi="Calibri"/>
          <w:b/>
          <w:color w:val="1E3A8A"/>
          <w:sz w:val="20"/>
        </w:rPr>
        <w:t xml:space="preserve">EU AI Act (Article 13) Compliance: </w:t>
      </w:r>
      <w:r>
        <w:rPr>
          <w:rFonts w:ascii="Calibri" w:hAnsi="Calibri"/>
          <w:color w:val="2D3748"/>
          <w:sz w:val="20"/>
        </w:rPr>
        <w:t>Enables real-time client-side generation of explanation heatmaps, establishing trust and ensuring human-in-the-loop auditability for clinical nutrition applications.</w:t>
      </w:r>
    </w:p>
    <w:p>
      <w:pPr>
        <w:keepNext/>
        <w:spacing w:before="320" w:after="120"/>
      </w:pPr>
      <w:r>
        <w:rPr>
          <w:rFonts w:ascii="Calibri" w:hAnsi="Calibri"/>
          <w:b/>
          <w:color w:val="1E3A8A"/>
          <w:sz w:val="30"/>
        </w:rPr>
        <w:t>7. Conclusion</w:t>
      </w:r>
    </w:p>
    <w:p>
      <w:pPr>
        <w:spacing w:after="120" w:line="276" w:lineRule="auto"/>
      </w:pPr>
      <w:r>
        <w:rPr>
          <w:rFonts w:ascii="Calibri" w:hAnsi="Calibri"/>
          <w:color w:val="2D3748"/>
          <w:sz w:val="21"/>
        </w:rPr>
        <w:t>The Explainable AI evaluation certifies that FoodWiseAI operates with high semantic grounding, topological latent continuity, and clinical interpretability. The integration of transparent Grad-CAM visualizations into the client interface guarantees compliance with international healthcare AI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