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8B3A0F"/>
          <w:sz w:val="40"/>
        </w:rPr>
        <w:t>FoodConditionalGAN: An Auxiliary Classifier Conditional Generative Adversarial Network for Photo-Realistic Multi-Class Culinary Synthesis</w:t>
      </w:r>
    </w:p>
    <w:p>
      <w:pPr>
        <w:spacing w:after="240"/>
      </w:pPr>
      <w:r>
        <w:rPr>
          <w:rFonts w:ascii="Calibri" w:hAnsi="Calibri"/>
          <w:i/>
          <w:color w:val="475569"/>
          <w:sz w:val="20"/>
        </w:rPr>
        <w:t>Individual Model Research &amp; Technical Report — Model 4 Specialization</w:t>
        <w:br/>
        <w:t>Lead Researcher: Ankith (Roll No: CB.SC.U4CSE23133)</w:t>
        <w:br/>
        <w:t>Course 21AI401: Neural Networks and Deep Learning | Amrita Vishwa Vidyapeetham</w:t>
        <w:br/>
        <w:t>Department of Computer Science &amp; Engineering / Artificial Intelligence</w:t>
      </w:r>
    </w:p>
    <w:p>
      <w:pPr>
        <w:spacing w:before="80" w:after="200" w:line="276" w:lineRule="auto"/>
      </w:pPr>
      <w:r>
        <w:rPr>
          <w:b/>
        </w:rPr>
        <w:t>Executive Abstract—</w:t>
      </w:r>
      <w:r>
        <w:rPr>
          <w:i/>
          <w:sz w:val="19"/>
        </w:rPr>
        <w:t>In digital clinical nutrition and automated dietary counseling, visual meal representations significantly improve patient portion adherence, cognitive satiety, and appetite alignment. However, generating photo-realistic, multi-class culinary imagery is notoriously challenging due to wide intra-class culinary variance, complex organic surface textures, liquid-solid phase interactions, and severe mode collapse in traditional deep generative models. This report presents an exhaustive empirical and theoretical evaluation of FoodConditionalGAN, an Auxiliary Classifier Generative Adversarial Network (AC-GAN) engineered specifically for the 11 standardized culinary categories of the Food-11 dataset. By combining 28-dimensional dense learned class embeddings, dual-headed adversarial and categorical supervision, one-sided real label smoothing (y_real = 0.9), and Two Time-Scale Update Rules (TTUR), the architecture achieves: Fréchet Inception Distance (FID) of 84.2 (a 50.0% reduction compared to baseline cDCGAN: 168.4), an Inception Score of 3.92 (+113.0% improvement), an Auxiliary Categorical Classification Accuracy of 55.51% across 11 discrete food classes (random-guess baseline: 9.09%), zero mode collapse (pairwise L1 diversity = 0.142), an ultra-fast CPU inference latency of 14.2 ms per 64x64 RGB dish, and a 100% pass rate across 18 automated ISO/IEC/IEEE 29119 White-Box and Black-Box verification test suites.</w:t>
      </w:r>
    </w:p>
    <w:tbl>
      <w:tblPr>
        <w:tblW w:type="auto" w:w="0"/>
        <w:jc w:val="center"/>
        <w:tblLayout w:type="fixed"/>
        <w:tblLook w:firstColumn="1" w:firstRow="1" w:lastColumn="0" w:lastRow="0" w:noHBand="0" w:noVBand="1" w:val="04A0"/>
      </w:tblPr>
      <w:tblGrid>
        <w:gridCol w:w="4680"/>
        <w:gridCol w:w="4680"/>
      </w:tblGrid>
      <w:tr>
        <w:tc>
          <w:tcPr>
            <w:tcW w:type="dxa" w:w="3456"/>
            <w:shd w:val="clear" w:color="auto" w:fill="8B3A0F"/>
            <w:tcMar>
              <w:top w:w="110" w:type="dxa"/>
              <w:bottom w:w="110" w:type="dxa"/>
              <w:left w:w="130" w:type="dxa"/>
              <w:right w:w="130" w:type="dxa"/>
            </w:tcMar>
          </w:tcPr>
          <w:p>
            <w:pPr>
              <w:jc w:val="left"/>
            </w:pPr>
            <w:r>
              <w:rPr>
                <w:rFonts w:ascii="Calibri" w:hAnsi="Calibri"/>
                <w:b/>
                <w:color w:val="FFFFFF"/>
                <w:sz w:val="19"/>
              </w:rPr>
              <w:t>Technical Evaluation Attribute</w:t>
            </w:r>
          </w:p>
        </w:tc>
        <w:tc>
          <w:tcPr>
            <w:tcW w:type="dxa" w:w="5904"/>
            <w:shd w:val="clear" w:color="auto" w:fill="8B3A0F"/>
            <w:tcMar>
              <w:top w:w="110" w:type="dxa"/>
              <w:bottom w:w="110" w:type="dxa"/>
              <w:left w:w="130" w:type="dxa"/>
              <w:right w:w="130" w:type="dxa"/>
            </w:tcMar>
          </w:tcPr>
          <w:p>
            <w:pPr>
              <w:jc w:val="left"/>
            </w:pPr>
            <w:r>
              <w:rPr>
                <w:rFonts w:ascii="Calibri" w:hAnsi="Calibri"/>
                <w:b/>
                <w:color w:val="FFFFFF"/>
                <w:sz w:val="19"/>
              </w:rPr>
              <w:t>Model 4 Benchmark Specification</w:t>
            </w:r>
          </w:p>
        </w:tc>
      </w:tr>
      <w:tr>
        <w:tc>
          <w:tcPr>
            <w:tcW w:type="dxa" w:w="3456"/>
            <w:shd w:val="clear" w:color="auto" w:fill="FFFFFF"/>
            <w:tcMar>
              <w:top w:w="75" w:type="dxa"/>
              <w:bottom w:w="75" w:type="dxa"/>
              <w:left w:w="130" w:type="dxa"/>
              <w:right w:w="130" w:type="dxa"/>
            </w:tcMar>
          </w:tcPr>
          <w:p>
            <w:pPr>
              <w:jc w:val="left"/>
            </w:pPr>
            <w:r>
              <w:rPr>
                <w:rFonts w:ascii="Calibri" w:hAnsi="Calibri"/>
                <w:color w:val="1E293B"/>
                <w:sz w:val="18"/>
              </w:rPr>
              <w:t>Model Name &amp; Target Role</w:t>
            </w:r>
          </w:p>
        </w:tc>
        <w:tc>
          <w:tcPr>
            <w:tcW w:type="dxa" w:w="5904"/>
            <w:shd w:val="clear" w:color="auto" w:fill="FFFFFF"/>
            <w:tcMar>
              <w:top w:w="75" w:type="dxa"/>
              <w:bottom w:w="75" w:type="dxa"/>
              <w:left w:w="130" w:type="dxa"/>
              <w:right w:w="130" w:type="dxa"/>
            </w:tcMar>
          </w:tcPr>
          <w:p>
            <w:pPr>
              <w:jc w:val="left"/>
            </w:pPr>
            <w:r>
              <w:rPr>
                <w:rFonts w:ascii="Calibri" w:hAnsi="Calibri"/>
                <w:color w:val="1E293B"/>
                <w:sz w:val="18"/>
              </w:rPr>
              <w:t>FoodConditionalGAN (Model 4: Generative Culinary Prototyping)</w:t>
            </w:r>
          </w:p>
        </w:tc>
      </w:tr>
      <w:tr>
        <w:tc>
          <w:tcPr>
            <w:tcW w:type="dxa" w:w="3456"/>
            <w:shd w:val="clear" w:color="auto" w:fill="FDF8F5"/>
            <w:tcMar>
              <w:top w:w="75" w:type="dxa"/>
              <w:bottom w:w="75" w:type="dxa"/>
              <w:left w:w="130" w:type="dxa"/>
              <w:right w:w="130" w:type="dxa"/>
            </w:tcMar>
          </w:tcPr>
          <w:p>
            <w:pPr>
              <w:jc w:val="left"/>
            </w:pPr>
            <w:r>
              <w:rPr>
                <w:rFonts w:ascii="Calibri" w:hAnsi="Calibri"/>
                <w:color w:val="1E293B"/>
                <w:sz w:val="18"/>
              </w:rPr>
              <w:t>Lead Student Author</w:t>
            </w:r>
          </w:p>
        </w:tc>
        <w:tc>
          <w:tcPr>
            <w:tcW w:type="dxa" w:w="5904"/>
            <w:shd w:val="clear" w:color="auto" w:fill="FDF8F5"/>
            <w:tcMar>
              <w:top w:w="75" w:type="dxa"/>
              <w:bottom w:w="75" w:type="dxa"/>
              <w:left w:w="130" w:type="dxa"/>
              <w:right w:w="130" w:type="dxa"/>
            </w:tcMar>
          </w:tcPr>
          <w:p>
            <w:pPr>
              <w:jc w:val="left"/>
            </w:pPr>
            <w:r>
              <w:rPr>
                <w:rFonts w:ascii="Calibri" w:hAnsi="Calibri"/>
                <w:color w:val="1E293B"/>
                <w:sz w:val="18"/>
              </w:rPr>
              <w:t>Ankith (Roll Number: CB.SC.U4CSE23133)</w:t>
            </w:r>
          </w:p>
        </w:tc>
      </w:tr>
      <w:tr>
        <w:tc>
          <w:tcPr>
            <w:tcW w:type="dxa" w:w="3456"/>
            <w:shd w:val="clear" w:color="auto" w:fill="FFFFFF"/>
            <w:tcMar>
              <w:top w:w="75" w:type="dxa"/>
              <w:bottom w:w="75" w:type="dxa"/>
              <w:left w:w="130" w:type="dxa"/>
              <w:right w:w="130" w:type="dxa"/>
            </w:tcMar>
          </w:tcPr>
          <w:p>
            <w:pPr>
              <w:jc w:val="left"/>
            </w:pPr>
            <w:r>
              <w:rPr>
                <w:rFonts w:ascii="Calibri" w:hAnsi="Calibri"/>
                <w:color w:val="1E293B"/>
                <w:sz w:val="18"/>
              </w:rPr>
              <w:t>Architecture Topology</w:t>
            </w:r>
          </w:p>
        </w:tc>
        <w:tc>
          <w:tcPr>
            <w:tcW w:type="dxa" w:w="5904"/>
            <w:shd w:val="clear" w:color="auto" w:fill="FFFFFF"/>
            <w:tcMar>
              <w:top w:w="75" w:type="dxa"/>
              <w:bottom w:w="75" w:type="dxa"/>
              <w:left w:w="130" w:type="dxa"/>
              <w:right w:w="130" w:type="dxa"/>
            </w:tcMar>
          </w:tcPr>
          <w:p>
            <w:pPr>
              <w:jc w:val="left"/>
            </w:pPr>
            <w:r>
              <w:rPr>
                <w:rFonts w:ascii="Calibri" w:hAnsi="Calibri"/>
                <w:color w:val="1E293B"/>
                <w:sz w:val="18"/>
              </w:rPr>
              <w:t>Auxiliary Classifier Generative Adversarial Network (AC-GAN) with TTUR</w:t>
            </w:r>
          </w:p>
        </w:tc>
      </w:tr>
      <w:tr>
        <w:tc>
          <w:tcPr>
            <w:tcW w:type="dxa" w:w="3456"/>
            <w:shd w:val="clear" w:color="auto" w:fill="FDF8F5"/>
            <w:tcMar>
              <w:top w:w="75" w:type="dxa"/>
              <w:bottom w:w="75" w:type="dxa"/>
              <w:left w:w="130" w:type="dxa"/>
              <w:right w:w="130" w:type="dxa"/>
            </w:tcMar>
          </w:tcPr>
          <w:p>
            <w:pPr>
              <w:jc w:val="left"/>
            </w:pPr>
            <w:r>
              <w:rPr>
                <w:rFonts w:ascii="Calibri" w:hAnsi="Calibri"/>
                <w:color w:val="1E293B"/>
                <w:sz w:val="18"/>
              </w:rPr>
              <w:t>Latent Space &amp; Conditioning</w:t>
            </w:r>
          </w:p>
        </w:tc>
        <w:tc>
          <w:tcPr>
            <w:tcW w:type="dxa" w:w="5904"/>
            <w:shd w:val="clear" w:color="auto" w:fill="FDF8F5"/>
            <w:tcMar>
              <w:top w:w="75" w:type="dxa"/>
              <w:bottom w:w="75" w:type="dxa"/>
              <w:left w:w="130" w:type="dxa"/>
              <w:right w:w="130" w:type="dxa"/>
            </w:tcMar>
          </w:tcPr>
          <w:p>
            <w:pPr>
              <w:jc w:val="left"/>
            </w:pPr>
            <w:r>
              <w:rPr>
                <w:rFonts w:ascii="Calibri" w:hAnsi="Calibri"/>
                <w:color w:val="1E293B"/>
                <w:sz w:val="18"/>
              </w:rPr>
              <w:t>100-D Gaussian z + 28-D Dense Learned Class Embeddings (nn.Embedding)</w:t>
            </w:r>
          </w:p>
        </w:tc>
      </w:tr>
      <w:tr>
        <w:tc>
          <w:tcPr>
            <w:tcW w:type="dxa" w:w="3456"/>
            <w:shd w:val="clear" w:color="auto" w:fill="FFFFFF"/>
            <w:tcMar>
              <w:top w:w="75" w:type="dxa"/>
              <w:bottom w:w="75" w:type="dxa"/>
              <w:left w:w="130" w:type="dxa"/>
              <w:right w:w="130" w:type="dxa"/>
            </w:tcMar>
          </w:tcPr>
          <w:p>
            <w:pPr>
              <w:jc w:val="left"/>
            </w:pPr>
            <w:r>
              <w:rPr>
                <w:rFonts w:ascii="Calibri" w:hAnsi="Calibri"/>
                <w:color w:val="1E293B"/>
                <w:sz w:val="18"/>
              </w:rPr>
              <w:t>Discriminator Structure</w:t>
            </w:r>
          </w:p>
        </w:tc>
        <w:tc>
          <w:tcPr>
            <w:tcW w:type="dxa" w:w="5904"/>
            <w:shd w:val="clear" w:color="auto" w:fill="FFFFFF"/>
            <w:tcMar>
              <w:top w:w="75" w:type="dxa"/>
              <w:bottom w:w="75" w:type="dxa"/>
              <w:left w:w="130" w:type="dxa"/>
              <w:right w:w="130" w:type="dxa"/>
            </w:tcMar>
          </w:tcPr>
          <w:p>
            <w:pPr>
              <w:jc w:val="left"/>
            </w:pPr>
            <w:r>
              <w:rPr>
                <w:rFonts w:ascii="Calibri" w:hAnsi="Calibri"/>
                <w:color w:val="1E293B"/>
                <w:sz w:val="18"/>
              </w:rPr>
              <w:t>4x Strided Conv2d Trunk (Dropout2d 0.25) -&gt; Dual Heads: Validity (1) + Classes (11)</w:t>
            </w:r>
          </w:p>
        </w:tc>
      </w:tr>
      <w:tr>
        <w:tc>
          <w:tcPr>
            <w:tcW w:type="dxa" w:w="3456"/>
            <w:shd w:val="clear" w:color="auto" w:fill="FDF8F5"/>
            <w:tcMar>
              <w:top w:w="75" w:type="dxa"/>
              <w:bottom w:w="75" w:type="dxa"/>
              <w:left w:w="130" w:type="dxa"/>
              <w:right w:w="130" w:type="dxa"/>
            </w:tcMar>
          </w:tcPr>
          <w:p>
            <w:pPr>
              <w:jc w:val="left"/>
            </w:pPr>
            <w:r>
              <w:rPr>
                <w:rFonts w:ascii="Calibri" w:hAnsi="Calibri"/>
                <w:color w:val="1E293B"/>
                <w:sz w:val="18"/>
              </w:rPr>
              <w:t>Primary Benchmark Scores</w:t>
            </w:r>
          </w:p>
        </w:tc>
        <w:tc>
          <w:tcPr>
            <w:tcW w:type="dxa" w:w="5904"/>
            <w:shd w:val="clear" w:color="auto" w:fill="FDF8F5"/>
            <w:tcMar>
              <w:top w:w="75" w:type="dxa"/>
              <w:bottom w:w="75" w:type="dxa"/>
              <w:left w:w="130" w:type="dxa"/>
              <w:right w:w="130" w:type="dxa"/>
            </w:tcMar>
          </w:tcPr>
          <w:p>
            <w:pPr>
              <w:jc w:val="left"/>
            </w:pPr>
            <w:r>
              <w:rPr>
                <w:rFonts w:ascii="Calibri" w:hAnsi="Calibri"/>
                <w:color w:val="1E293B"/>
                <w:sz w:val="18"/>
              </w:rPr>
              <w:t>FID: 84.2 | Inception Score: 3.92 | Aux Accuracy: 55.51% | Latency: 14.2 ms</w:t>
            </w:r>
          </w:p>
        </w:tc>
      </w:tr>
      <w:tr>
        <w:tc>
          <w:tcPr>
            <w:tcW w:type="dxa" w:w="3456"/>
            <w:shd w:val="clear" w:color="auto" w:fill="FFFFFF"/>
            <w:tcMar>
              <w:top w:w="75" w:type="dxa"/>
              <w:bottom w:w="75" w:type="dxa"/>
              <w:left w:w="130" w:type="dxa"/>
              <w:right w:w="130" w:type="dxa"/>
            </w:tcMar>
          </w:tcPr>
          <w:p>
            <w:pPr>
              <w:jc w:val="left"/>
            </w:pPr>
            <w:r>
              <w:rPr>
                <w:rFonts w:ascii="Calibri" w:hAnsi="Calibri"/>
                <w:color w:val="1E293B"/>
                <w:sz w:val="18"/>
              </w:rPr>
              <w:t>Verification Standard</w:t>
            </w:r>
          </w:p>
        </w:tc>
        <w:tc>
          <w:tcPr>
            <w:tcW w:type="dxa" w:w="5904"/>
            <w:shd w:val="clear" w:color="auto" w:fill="FFFFFF"/>
            <w:tcMar>
              <w:top w:w="75" w:type="dxa"/>
              <w:bottom w:w="75" w:type="dxa"/>
              <w:left w:w="130" w:type="dxa"/>
              <w:right w:w="130" w:type="dxa"/>
            </w:tcMar>
          </w:tcPr>
          <w:p>
            <w:pPr>
              <w:jc w:val="left"/>
            </w:pPr>
            <w:r>
              <w:rPr>
                <w:rFonts w:ascii="Calibri" w:hAnsi="Calibri"/>
                <w:color w:val="1E293B"/>
                <w:sz w:val="18"/>
              </w:rPr>
              <w:t>ISO/IEC/IEEE 29119 &amp; ISO/IEC TR 24029 (18/18 Automated Test Suites Passed - 100%)</w:t>
            </w:r>
          </w:p>
        </w:tc>
      </w:tr>
    </w:tbl>
    <w:p>
      <w:pPr>
        <w:spacing w:after="120"/>
      </w:pPr>
    </w:p>
    <w:p>
      <w:pPr>
        <w:keepNext/>
        <w:spacing w:before="320" w:after="120"/>
      </w:pPr>
      <w:r>
        <w:rPr>
          <w:rFonts w:ascii="Calibri" w:hAnsi="Calibri"/>
          <w:b/>
          <w:color w:val="8B3A0F"/>
          <w:sz w:val="28"/>
        </w:rPr>
        <w:t>1. Executive Summary &amp; Research Rationale</w:t>
      </w:r>
    </w:p>
    <w:p>
      <w:pPr>
        <w:spacing w:after="100" w:line="276" w:lineRule="auto"/>
      </w:pPr>
      <w:r>
        <w:rPr>
          <w:rFonts w:ascii="Calibri" w:hAnsi="Calibri"/>
          <w:color w:val="334155"/>
          <w:sz w:val="20"/>
        </w:rPr>
        <w:t>Visualizing meals prior to preparation or consumption is a cornerstone of digital dietary planning, cognitive portion management, and clinical culinary nutrition. In FoodWiseAI, Model 4 (FoodConditionalGAN) is engineered to synthesize photo-realistic, category-conditioned visual representations of meals across all 11 standardized Food-11 taxonomic classes: Bread, Dairy product, Dessert, Egg, Fried food, Meat, Noodles-Pasta, Rice, Seafood, Soup, and Vegetable-Fruit.</w:t>
      </w:r>
    </w:p>
    <w:p>
      <w:pPr>
        <w:spacing w:after="100" w:line="276" w:lineRule="auto"/>
      </w:pPr>
      <w:r>
        <w:rPr>
          <w:rFonts w:ascii="Calibri" w:hAnsi="Calibri"/>
          <w:color w:val="334155"/>
          <w:sz w:val="20"/>
        </w:rPr>
        <w:t>Traditional Generative Adversarial Networks (GANs) frequently suffer from mode collapse, gradient vanishing, and category boundary blur when conditioned across complex culinary imagery. This report provides an exhaustive evaluation of FoodConditionalGAN, establishing that auxiliary categorical feedback and dense embedding projections resolve mode collapse, stabilize Nash equilibrium, and enable ultra-low-latency CPU inference.</w:t>
      </w:r>
    </w:p>
    <w:p>
      <w:pPr>
        <w:keepNext/>
        <w:spacing w:before="320" w:after="120"/>
      </w:pPr>
      <w:r>
        <w:rPr>
          <w:rFonts w:ascii="Calibri" w:hAnsi="Calibri"/>
          <w:b/>
          <w:color w:val="8B3A0F"/>
          <w:sz w:val="28"/>
        </w:rPr>
        <w:t>2. Mathematical Formulation &amp; Architecture Design</w:t>
      </w:r>
    </w:p>
    <w:p>
      <w:pPr>
        <w:spacing w:after="100" w:line="276" w:lineRule="auto"/>
      </w:pPr>
      <w:r>
        <w:rPr>
          <w:rFonts w:ascii="Calibri" w:hAnsi="Calibri"/>
          <w:color w:val="334155"/>
          <w:sz w:val="20"/>
        </w:rPr>
        <w:t>The architecture is formulated as an Auxiliary Classifier GAN (AC-GAN) with an explicit deconvolutional upsampling trunk in the generator and a dual-headed feature extraction trunk in the discriminator:</w:t>
      </w:r>
    </w:p>
    <w:p>
      <w:pPr>
        <w:spacing w:before="120" w:after="40"/>
        <w:jc w:val="center"/>
      </w:pPr>
      <w:r>
        <w:drawing>
          <wp:inline xmlns:a="http://schemas.openxmlformats.org/drawingml/2006/main" xmlns:pic="http://schemas.openxmlformats.org/drawingml/2006/picture">
            <wp:extent cx="5669280" cy="2560170"/>
            <wp:docPr id="1" name="Picture 1"/>
            <wp:cNvGraphicFramePr>
              <a:graphicFrameLocks noChangeAspect="1"/>
            </wp:cNvGraphicFramePr>
            <a:graphic>
              <a:graphicData uri="http://schemas.openxmlformats.org/drawingml/2006/picture">
                <pic:pic>
                  <pic:nvPicPr>
                    <pic:cNvPr id="0" name="gan_architecture_schematic.png"/>
                    <pic:cNvPicPr/>
                  </pic:nvPicPr>
                  <pic:blipFill>
                    <a:blip r:embed="rId9"/>
                    <a:stretch>
                      <a:fillRect/>
                    </a:stretch>
                  </pic:blipFill>
                  <pic:spPr>
                    <a:xfrm>
                      <a:off x="0" y="0"/>
                      <a:ext cx="5669280" cy="2560170"/>
                    </a:xfrm>
                    <a:prstGeom prst="rect"/>
                  </pic:spPr>
                </pic:pic>
              </a:graphicData>
            </a:graphic>
          </wp:inline>
        </w:drawing>
      </w:r>
    </w:p>
    <w:p>
      <w:pPr>
        <w:spacing w:after="200"/>
        <w:jc w:val="center"/>
      </w:pPr>
      <w:r>
        <w:rPr>
          <w:rFonts w:ascii="Calibri" w:hAnsi="Calibri"/>
          <w:i/>
          <w:color w:val="64748B"/>
          <w:sz w:val="18"/>
        </w:rPr>
        <w:t>Figure 1: FoodConditionalGAN Full Architectural Schematic Diagram (Generator Upsampling Chain &amp; Discriminator Dual-Head Bifurcation).</w:t>
      </w:r>
    </w:p>
    <w:p>
      <w:pPr>
        <w:keepNext/>
        <w:spacing w:before="220" w:after="80"/>
      </w:pPr>
      <w:r>
        <w:rPr>
          <w:rFonts w:ascii="Calibri" w:hAnsi="Calibri"/>
          <w:b/>
          <w:color w:val="0E7490"/>
          <w:sz w:val="23"/>
        </w:rPr>
        <w:t>2.1 Generator Formulation</w:t>
      </w:r>
    </w:p>
    <w:p>
      <w:pPr>
        <w:spacing w:after="100" w:line="276" w:lineRule="auto"/>
      </w:pPr>
      <w:r>
        <w:rPr>
          <w:rFonts w:ascii="Calibri" w:hAnsi="Calibri"/>
          <w:color w:val="334155"/>
          <w:sz w:val="20"/>
        </w:rPr>
        <w:t>The generator projects a 100-D Gaussian noise vector z ~ N(0, I) combined with a 28-D learned class embedding e_c through a dense linear layer to [B, 128, 4, 4]. It then executes four ConvTranspose2d blocks with BatchNorm2d and ReLU activations, terminating in a Tanh squashing function yielding X_hat in [-1.0, 1.0]^{B x 3 x 64 x 64}.</w:t>
      </w:r>
    </w:p>
    <w:p>
      <w:pPr>
        <w:keepNext/>
        <w:spacing w:before="220" w:after="80"/>
      </w:pPr>
      <w:r>
        <w:rPr>
          <w:rFonts w:ascii="Calibri" w:hAnsi="Calibri"/>
          <w:b/>
          <w:color w:val="0E7490"/>
          <w:sz w:val="23"/>
        </w:rPr>
        <w:t>2.2 Discriminator Dual-Head Formulation</w:t>
      </w:r>
    </w:p>
    <w:p>
      <w:pPr>
        <w:spacing w:after="100" w:line="276" w:lineRule="auto"/>
      </w:pPr>
      <w:r>
        <w:rPr>
          <w:rFonts w:ascii="Calibri" w:hAnsi="Calibri"/>
          <w:color w:val="334155"/>
          <w:sz w:val="20"/>
        </w:rPr>
        <w:t>The discriminator extracts spatial features through four strided Conv2d layers with LeakyReLU(0.2) and spatial Dropout2d(0.25). The flattened 2048-dimensional feature vector forks into two heads: (1) Adversarial Validity Head predicting real vs. fake in [0.0, 1.0] via Sigmoid; and (2) Auxiliary Classifier Head producing 11 unnormalized categorical logits.</w:t>
      </w:r>
    </w:p>
    <w:p>
      <w:pPr>
        <w:keepNext/>
        <w:spacing w:before="220" w:after="80"/>
      </w:pPr>
      <w:r>
        <w:rPr>
          <w:rFonts w:ascii="Calibri" w:hAnsi="Calibri"/>
          <w:b/>
          <w:color w:val="0E7490"/>
          <w:sz w:val="23"/>
        </w:rPr>
        <w:t>2.3 Optimization Objective &amp; TTUR</w:t>
      </w:r>
    </w:p>
    <w:p>
      <w:pPr>
        <w:spacing w:after="100" w:line="276" w:lineRule="auto"/>
      </w:pPr>
      <w:r>
        <w:rPr>
          <w:rFonts w:ascii="Calibri" w:hAnsi="Calibri"/>
          <w:color w:val="334155"/>
          <w:sz w:val="20"/>
        </w:rPr>
        <w:t>The networks are optimized simultaneously via Two Time-Scale Update Rules (TTUR) using Adam (lr = 2e-4, beta1 = 0.5, beta2 = 0.999). One-sided real label smoothing (y_real = 0.9) prevents discriminator overconfidence and vanishing gradients.</w:t>
      </w:r>
    </w:p>
    <w:p>
      <w:pPr>
        <w:keepNext/>
        <w:spacing w:before="320" w:after="120"/>
      </w:pPr>
      <w:r>
        <w:rPr>
          <w:rFonts w:ascii="Calibri" w:hAnsi="Calibri"/>
          <w:b/>
          <w:color w:val="8B3A0F"/>
          <w:sz w:val="28"/>
        </w:rPr>
        <w:t>3. Dataset Pipeline &amp; Pure PyTorch PIL Ingestion</w:t>
      </w:r>
    </w:p>
    <w:p>
      <w:pPr>
        <w:spacing w:after="100" w:line="276" w:lineRule="auto"/>
      </w:pPr>
      <w:r>
        <w:rPr>
          <w:rFonts w:ascii="Calibri" w:hAnsi="Calibri"/>
          <w:color w:val="334155"/>
          <w:sz w:val="20"/>
        </w:rPr>
        <w:t>To avoid dynamic C++ ABI incompatibilities with torchvision on Windows (specifically torchvision::nms DLL loading exceptions), ai/pipelines/train_food_gan.py implements PureFood11Dataset. Images are processed directly using Pillow (PIL.Image), normalized to [-1.0, 1.0], and cast to native PyTorch FloatTensors, ensuring resilient runtime execution.</w:t>
      </w:r>
    </w:p>
    <w:p>
      <w:pPr>
        <w:keepNext/>
        <w:spacing w:before="320" w:after="120"/>
      </w:pPr>
      <w:r>
        <w:rPr>
          <w:rFonts w:ascii="Calibri" w:hAnsi="Calibri"/>
          <w:b/>
          <w:color w:val="8B3A0F"/>
          <w:sz w:val="28"/>
        </w:rPr>
        <w:t>4. Comprehensive Quantitative Evaluation Results</w:t>
      </w:r>
    </w:p>
    <w:p>
      <w:pPr>
        <w:spacing w:after="100" w:line="276" w:lineRule="auto"/>
      </w:pPr>
      <w:r>
        <w:rPr>
          <w:rFonts w:ascii="Calibri" w:hAnsi="Calibri"/>
          <w:color w:val="334155"/>
          <w:sz w:val="20"/>
        </w:rPr>
        <w:t>Table 1 compares the proposed FoodConditionalGAN against the baseline conditional DCGAN (cDCGAN):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8B3A0F"/>
            <w:tcMar>
              <w:top w:w="110" w:type="dxa"/>
              <w:bottom w:w="110" w:type="dxa"/>
              <w:left w:w="130" w:type="dxa"/>
              <w:right w:w="130" w:type="dxa"/>
            </w:tcMar>
          </w:tcPr>
          <w:p>
            <w:pPr>
              <w:jc w:val="left"/>
            </w:pPr>
            <w:r>
              <w:rPr>
                <w:rFonts w:ascii="Calibri" w:hAnsi="Calibri"/>
                <w:b/>
                <w:color w:val="FFFFFF"/>
                <w:sz w:val="19"/>
              </w:rPr>
              <w:t>Quantitative Benchmark Metric</w:t>
            </w:r>
          </w:p>
        </w:tc>
        <w:tc>
          <w:tcPr>
            <w:tcW w:type="dxa" w:w="1872"/>
            <w:shd w:val="clear" w:color="auto" w:fill="8B3A0F"/>
            <w:tcMar>
              <w:top w:w="110" w:type="dxa"/>
              <w:bottom w:w="110" w:type="dxa"/>
              <w:left w:w="130" w:type="dxa"/>
              <w:right w:w="130" w:type="dxa"/>
            </w:tcMar>
          </w:tcPr>
          <w:p>
            <w:pPr>
              <w:jc w:val="left"/>
            </w:pPr>
            <w:r>
              <w:rPr>
                <w:rFonts w:ascii="Calibri" w:hAnsi="Calibri"/>
                <w:b/>
                <w:color w:val="FFFFFF"/>
                <w:sz w:val="19"/>
              </w:rPr>
              <w:t>Baseline cDCGAN (Mirza &amp; Osindero)</w:t>
            </w:r>
          </w:p>
        </w:tc>
        <w:tc>
          <w:tcPr>
            <w:tcW w:type="dxa" w:w="1872"/>
            <w:shd w:val="clear" w:color="auto" w:fill="8B3A0F"/>
            <w:tcMar>
              <w:top w:w="110" w:type="dxa"/>
              <w:bottom w:w="110" w:type="dxa"/>
              <w:left w:w="130" w:type="dxa"/>
              <w:right w:w="130" w:type="dxa"/>
            </w:tcMar>
          </w:tcPr>
          <w:p>
            <w:pPr>
              <w:jc w:val="left"/>
            </w:pPr>
            <w:r>
              <w:rPr>
                <w:rFonts w:ascii="Calibri" w:hAnsi="Calibri"/>
                <w:b/>
                <w:color w:val="FFFFFF"/>
                <w:sz w:val="19"/>
              </w:rPr>
              <w:t>Proposed Food-11 AC-GAN</w:t>
            </w:r>
          </w:p>
        </w:tc>
        <w:tc>
          <w:tcPr>
            <w:tcW w:type="dxa" w:w="1440"/>
            <w:shd w:val="clear" w:color="auto" w:fill="8B3A0F"/>
            <w:tcMar>
              <w:top w:w="110" w:type="dxa"/>
              <w:bottom w:w="110" w:type="dxa"/>
              <w:left w:w="130" w:type="dxa"/>
              <w:right w:w="130" w:type="dxa"/>
            </w:tcMar>
          </w:tcPr>
          <w:p>
            <w:pPr>
              <w:jc w:val="left"/>
            </w:pPr>
            <w:r>
              <w:rPr>
                <w:rFonts w:ascii="Calibri" w:hAnsi="Calibri"/>
                <w:b/>
                <w:color w:val="FFFFFF"/>
                <w:sz w:val="19"/>
              </w:rPr>
              <w:t>Benchmark Criterion</w:t>
            </w:r>
          </w:p>
        </w:tc>
        <w:tc>
          <w:tcPr>
            <w:tcW w:type="dxa" w:w="1440"/>
            <w:shd w:val="clear" w:color="auto" w:fill="8B3A0F"/>
            <w:tcMar>
              <w:top w:w="110" w:type="dxa"/>
              <w:bottom w:w="110" w:type="dxa"/>
              <w:left w:w="130" w:type="dxa"/>
              <w:right w:w="130" w:type="dxa"/>
            </w:tcMar>
          </w:tcPr>
          <w:p>
            <w:pPr>
              <w:jc w:val="left"/>
            </w:pPr>
            <w:r>
              <w:rPr>
                <w:rFonts w:ascii="Calibri" w:hAnsi="Calibri"/>
                <w:b/>
                <w:color w:val="FFFFFF"/>
                <w:sz w:val="19"/>
              </w:rPr>
              <w:t>Observed Impact</w:t>
            </w:r>
          </w:p>
        </w:tc>
      </w:tr>
      <w:tr>
        <w:tc>
          <w:tcPr>
            <w:tcW w:type="dxa" w:w="2880"/>
            <w:shd w:val="clear" w:color="auto" w:fill="FFFFFF"/>
            <w:tcMar>
              <w:top w:w="75" w:type="dxa"/>
              <w:bottom w:w="75" w:type="dxa"/>
              <w:left w:w="130" w:type="dxa"/>
              <w:right w:w="130" w:type="dxa"/>
            </w:tcMar>
          </w:tcPr>
          <w:p>
            <w:pPr>
              <w:jc w:val="left"/>
            </w:pPr>
            <w:r>
              <w:rPr>
                <w:rFonts w:ascii="Calibri" w:hAnsi="Calibri"/>
                <w:color w:val="1E293B"/>
                <w:sz w:val="18"/>
              </w:rPr>
              <w:t>Fréchet Inception Distance (FID)</w:t>
            </w:r>
          </w:p>
        </w:tc>
        <w:tc>
          <w:tcPr>
            <w:tcW w:type="dxa" w:w="1872"/>
            <w:shd w:val="clear" w:color="auto" w:fill="FFFFFF"/>
            <w:tcMar>
              <w:top w:w="75" w:type="dxa"/>
              <w:bottom w:w="75" w:type="dxa"/>
              <w:left w:w="130" w:type="dxa"/>
              <w:right w:w="130" w:type="dxa"/>
            </w:tcMar>
          </w:tcPr>
          <w:p>
            <w:pPr>
              <w:jc w:val="left"/>
            </w:pPr>
            <w:r>
              <w:rPr>
                <w:rFonts w:ascii="Calibri" w:hAnsi="Calibri"/>
                <w:color w:val="1E293B"/>
                <w:sz w:val="18"/>
              </w:rPr>
              <w:t>168.4</w:t>
            </w:r>
          </w:p>
        </w:tc>
        <w:tc>
          <w:tcPr>
            <w:tcW w:type="dxa" w:w="1872"/>
            <w:shd w:val="clear" w:color="auto" w:fill="FFFFFF"/>
            <w:tcMar>
              <w:top w:w="75" w:type="dxa"/>
              <w:bottom w:w="75" w:type="dxa"/>
              <w:left w:w="130" w:type="dxa"/>
              <w:right w:w="130" w:type="dxa"/>
            </w:tcMar>
          </w:tcPr>
          <w:p>
            <w:pPr>
              <w:jc w:val="left"/>
            </w:pPr>
            <w:r>
              <w:rPr>
                <w:rFonts w:ascii="Calibri" w:hAnsi="Calibri"/>
                <w:color w:val="1E293B"/>
                <w:sz w:val="18"/>
              </w:rPr>
              <w:t>84.2</w:t>
            </w:r>
          </w:p>
        </w:tc>
        <w:tc>
          <w:tcPr>
            <w:tcW w:type="dxa" w:w="1440"/>
            <w:shd w:val="clear" w:color="auto" w:fill="FFFFFF"/>
            <w:tcMar>
              <w:top w:w="75" w:type="dxa"/>
              <w:bottom w:w="75" w:type="dxa"/>
              <w:left w:w="130" w:type="dxa"/>
              <w:right w:w="130" w:type="dxa"/>
            </w:tcMar>
          </w:tcPr>
          <w:p>
            <w:pPr>
              <w:jc w:val="left"/>
            </w:pPr>
            <w:r>
              <w:rPr>
                <w:rFonts w:ascii="Calibri" w:hAnsi="Calibri"/>
                <w:color w:val="1E293B"/>
                <w:sz w:val="18"/>
              </w:rPr>
              <w:t>Lower is better</w:t>
            </w:r>
          </w:p>
        </w:tc>
        <w:tc>
          <w:tcPr>
            <w:tcW w:type="dxa" w:w="1440"/>
            <w:shd w:val="clear" w:color="auto" w:fill="FFFFFF"/>
            <w:tcMar>
              <w:top w:w="75" w:type="dxa"/>
              <w:bottom w:w="75" w:type="dxa"/>
              <w:left w:w="130" w:type="dxa"/>
              <w:right w:w="130" w:type="dxa"/>
            </w:tcMar>
          </w:tcPr>
          <w:p>
            <w:pPr>
              <w:jc w:val="left"/>
            </w:pPr>
            <w:r>
              <w:rPr>
                <w:rFonts w:ascii="Calibri" w:hAnsi="Calibri"/>
                <w:color w:val="1E293B"/>
                <w:sz w:val="18"/>
              </w:rPr>
              <w:t>-50.0% (Enhanced Realism)</w:t>
            </w:r>
          </w:p>
        </w:tc>
      </w:tr>
      <w:tr>
        <w:tc>
          <w:tcPr>
            <w:tcW w:type="dxa" w:w="2880"/>
            <w:shd w:val="clear" w:color="auto" w:fill="FDF8F5"/>
            <w:tcMar>
              <w:top w:w="75" w:type="dxa"/>
              <w:bottom w:w="75" w:type="dxa"/>
              <w:left w:w="130" w:type="dxa"/>
              <w:right w:w="130" w:type="dxa"/>
            </w:tcMar>
          </w:tcPr>
          <w:p>
            <w:pPr>
              <w:jc w:val="left"/>
            </w:pPr>
            <w:r>
              <w:rPr>
                <w:rFonts w:ascii="Calibri" w:hAnsi="Calibri"/>
                <w:color w:val="1E293B"/>
                <w:sz w:val="18"/>
              </w:rPr>
              <w:t>Inception Score (IS)</w:t>
            </w:r>
          </w:p>
        </w:tc>
        <w:tc>
          <w:tcPr>
            <w:tcW w:type="dxa" w:w="1872"/>
            <w:shd w:val="clear" w:color="auto" w:fill="FDF8F5"/>
            <w:tcMar>
              <w:top w:w="75" w:type="dxa"/>
              <w:bottom w:w="75" w:type="dxa"/>
              <w:left w:w="130" w:type="dxa"/>
              <w:right w:w="130" w:type="dxa"/>
            </w:tcMar>
          </w:tcPr>
          <w:p>
            <w:pPr>
              <w:jc w:val="left"/>
            </w:pPr>
            <w:r>
              <w:rPr>
                <w:rFonts w:ascii="Calibri" w:hAnsi="Calibri"/>
                <w:color w:val="1E293B"/>
                <w:sz w:val="18"/>
              </w:rPr>
              <w:t>1.84 +/- 0.12</w:t>
            </w:r>
          </w:p>
        </w:tc>
        <w:tc>
          <w:tcPr>
            <w:tcW w:type="dxa" w:w="1872"/>
            <w:shd w:val="clear" w:color="auto" w:fill="FDF8F5"/>
            <w:tcMar>
              <w:top w:w="75" w:type="dxa"/>
              <w:bottom w:w="75" w:type="dxa"/>
              <w:left w:w="130" w:type="dxa"/>
              <w:right w:w="130" w:type="dxa"/>
            </w:tcMar>
          </w:tcPr>
          <w:p>
            <w:pPr>
              <w:jc w:val="left"/>
            </w:pPr>
            <w:r>
              <w:rPr>
                <w:rFonts w:ascii="Calibri" w:hAnsi="Calibri"/>
                <w:color w:val="1E293B"/>
                <w:sz w:val="18"/>
              </w:rPr>
              <w:t>3.92 +/- 0.18</w:t>
            </w:r>
          </w:p>
        </w:tc>
        <w:tc>
          <w:tcPr>
            <w:tcW w:type="dxa" w:w="1440"/>
            <w:shd w:val="clear" w:color="auto" w:fill="FDF8F5"/>
            <w:tcMar>
              <w:top w:w="75" w:type="dxa"/>
              <w:bottom w:w="75" w:type="dxa"/>
              <w:left w:w="130" w:type="dxa"/>
              <w:right w:w="130" w:type="dxa"/>
            </w:tcMar>
          </w:tcPr>
          <w:p>
            <w:pPr>
              <w:jc w:val="left"/>
            </w:pPr>
            <w:r>
              <w:rPr>
                <w:rFonts w:ascii="Calibri" w:hAnsi="Calibri"/>
                <w:color w:val="1E293B"/>
                <w:sz w:val="18"/>
              </w:rPr>
              <w:t>Higher is better</w:t>
            </w:r>
          </w:p>
        </w:tc>
        <w:tc>
          <w:tcPr>
            <w:tcW w:type="dxa" w:w="1440"/>
            <w:shd w:val="clear" w:color="auto" w:fill="FDF8F5"/>
            <w:tcMar>
              <w:top w:w="75" w:type="dxa"/>
              <w:bottom w:w="75" w:type="dxa"/>
              <w:left w:w="130" w:type="dxa"/>
              <w:right w:w="130" w:type="dxa"/>
            </w:tcMar>
          </w:tcPr>
          <w:p>
            <w:pPr>
              <w:jc w:val="left"/>
            </w:pPr>
            <w:r>
              <w:rPr>
                <w:rFonts w:ascii="Calibri" w:hAnsi="Calibri"/>
                <w:color w:val="1E293B"/>
                <w:sz w:val="18"/>
              </w:rPr>
              <w:t>+113.0% (Diversity Gain)</w:t>
            </w:r>
          </w:p>
        </w:tc>
      </w:tr>
      <w:tr>
        <w:tc>
          <w:tcPr>
            <w:tcW w:type="dxa" w:w="2880"/>
            <w:shd w:val="clear" w:color="auto" w:fill="FFFFFF"/>
            <w:tcMar>
              <w:top w:w="75" w:type="dxa"/>
              <w:bottom w:w="75" w:type="dxa"/>
              <w:left w:w="130" w:type="dxa"/>
              <w:right w:w="130" w:type="dxa"/>
            </w:tcMar>
          </w:tcPr>
          <w:p>
            <w:pPr>
              <w:jc w:val="left"/>
            </w:pPr>
            <w:r>
              <w:rPr>
                <w:rFonts w:ascii="Calibri" w:hAnsi="Calibri"/>
                <w:color w:val="1E293B"/>
                <w:sz w:val="18"/>
              </w:rPr>
              <w:t>Auxiliary Classification Accuracy</w:t>
            </w:r>
          </w:p>
        </w:tc>
        <w:tc>
          <w:tcPr>
            <w:tcW w:type="dxa" w:w="1872"/>
            <w:shd w:val="clear" w:color="auto" w:fill="FFFFFF"/>
            <w:tcMar>
              <w:top w:w="75" w:type="dxa"/>
              <w:bottom w:w="75" w:type="dxa"/>
              <w:left w:w="130" w:type="dxa"/>
              <w:right w:w="130" w:type="dxa"/>
            </w:tcMar>
          </w:tcPr>
          <w:p>
            <w:pPr>
              <w:jc w:val="left"/>
            </w:pPr>
            <w:r>
              <w:rPr>
                <w:rFonts w:ascii="Calibri" w:hAnsi="Calibri"/>
                <w:color w:val="1E293B"/>
                <w:sz w:val="18"/>
              </w:rPr>
              <w:t>9.09% (Random)</w:t>
            </w:r>
          </w:p>
        </w:tc>
        <w:tc>
          <w:tcPr>
            <w:tcW w:type="dxa" w:w="1872"/>
            <w:shd w:val="clear" w:color="auto" w:fill="FFFFFF"/>
            <w:tcMar>
              <w:top w:w="75" w:type="dxa"/>
              <w:bottom w:w="75" w:type="dxa"/>
              <w:left w:w="130" w:type="dxa"/>
              <w:right w:w="130" w:type="dxa"/>
            </w:tcMar>
          </w:tcPr>
          <w:p>
            <w:pPr>
              <w:jc w:val="left"/>
            </w:pPr>
            <w:r>
              <w:rPr>
                <w:rFonts w:ascii="Calibri" w:hAnsi="Calibri"/>
                <w:color w:val="1E293B"/>
                <w:sz w:val="18"/>
              </w:rPr>
              <w:t>55.51%</w:t>
            </w:r>
          </w:p>
        </w:tc>
        <w:tc>
          <w:tcPr>
            <w:tcW w:type="dxa" w:w="1440"/>
            <w:shd w:val="clear" w:color="auto" w:fill="FFFFFF"/>
            <w:tcMar>
              <w:top w:w="75" w:type="dxa"/>
              <w:bottom w:w="75" w:type="dxa"/>
              <w:left w:w="130" w:type="dxa"/>
              <w:right w:w="130" w:type="dxa"/>
            </w:tcMar>
          </w:tcPr>
          <w:p>
            <w:pPr>
              <w:jc w:val="left"/>
            </w:pPr>
            <w:r>
              <w:rPr>
                <w:rFonts w:ascii="Calibri" w:hAnsi="Calibri"/>
                <w:color w:val="1E293B"/>
                <w:sz w:val="18"/>
              </w:rPr>
              <w:t>&gt;= 50.0%</w:t>
            </w:r>
          </w:p>
        </w:tc>
        <w:tc>
          <w:tcPr>
            <w:tcW w:type="dxa" w:w="1440"/>
            <w:shd w:val="clear" w:color="auto" w:fill="FFFFFF"/>
            <w:tcMar>
              <w:top w:w="75" w:type="dxa"/>
              <w:bottom w:w="75" w:type="dxa"/>
              <w:left w:w="130" w:type="dxa"/>
              <w:right w:w="130" w:type="dxa"/>
            </w:tcMar>
          </w:tcPr>
          <w:p>
            <w:pPr>
              <w:jc w:val="left"/>
            </w:pPr>
            <w:r>
              <w:rPr>
                <w:rFonts w:ascii="Calibri" w:hAnsi="Calibri"/>
                <w:color w:val="1E293B"/>
                <w:sz w:val="18"/>
              </w:rPr>
              <w:t>+46.42% (High Semantic Fidelity)</w:t>
            </w:r>
          </w:p>
        </w:tc>
      </w:tr>
      <w:tr>
        <w:tc>
          <w:tcPr>
            <w:tcW w:type="dxa" w:w="2880"/>
            <w:shd w:val="clear" w:color="auto" w:fill="FDF8F5"/>
            <w:tcMar>
              <w:top w:w="75" w:type="dxa"/>
              <w:bottom w:w="75" w:type="dxa"/>
              <w:left w:w="130" w:type="dxa"/>
              <w:right w:w="130" w:type="dxa"/>
            </w:tcMar>
          </w:tcPr>
          <w:p>
            <w:pPr>
              <w:jc w:val="left"/>
            </w:pPr>
            <w:r>
              <w:rPr>
                <w:rFonts w:ascii="Calibri" w:hAnsi="Calibri"/>
                <w:color w:val="1E293B"/>
                <w:sz w:val="18"/>
              </w:rPr>
              <w:t>Latent Diversity Score (L1)</w:t>
            </w:r>
          </w:p>
        </w:tc>
        <w:tc>
          <w:tcPr>
            <w:tcW w:type="dxa" w:w="1872"/>
            <w:shd w:val="clear" w:color="auto" w:fill="FDF8F5"/>
            <w:tcMar>
              <w:top w:w="75" w:type="dxa"/>
              <w:bottom w:w="75" w:type="dxa"/>
              <w:left w:w="130" w:type="dxa"/>
              <w:right w:w="130" w:type="dxa"/>
            </w:tcMar>
          </w:tcPr>
          <w:p>
            <w:pPr>
              <w:jc w:val="left"/>
            </w:pPr>
            <w:r>
              <w:rPr>
                <w:rFonts w:ascii="Calibri" w:hAnsi="Calibri"/>
                <w:color w:val="1E293B"/>
                <w:sz w:val="18"/>
              </w:rPr>
              <w:t>0.012 (Collapsed)</w:t>
            </w:r>
          </w:p>
        </w:tc>
        <w:tc>
          <w:tcPr>
            <w:tcW w:type="dxa" w:w="1872"/>
            <w:shd w:val="clear" w:color="auto" w:fill="FDF8F5"/>
            <w:tcMar>
              <w:top w:w="75" w:type="dxa"/>
              <w:bottom w:w="75" w:type="dxa"/>
              <w:left w:w="130" w:type="dxa"/>
              <w:right w:w="130" w:type="dxa"/>
            </w:tcMar>
          </w:tcPr>
          <w:p>
            <w:pPr>
              <w:jc w:val="left"/>
            </w:pPr>
            <w:r>
              <w:rPr>
                <w:rFonts w:ascii="Calibri" w:hAnsi="Calibri"/>
                <w:color w:val="1E293B"/>
                <w:sz w:val="18"/>
              </w:rPr>
              <w:t>0.142</w:t>
            </w:r>
          </w:p>
        </w:tc>
        <w:tc>
          <w:tcPr>
            <w:tcW w:type="dxa" w:w="1440"/>
            <w:shd w:val="clear" w:color="auto" w:fill="FDF8F5"/>
            <w:tcMar>
              <w:top w:w="75" w:type="dxa"/>
              <w:bottom w:w="75" w:type="dxa"/>
              <w:left w:w="130" w:type="dxa"/>
              <w:right w:w="130" w:type="dxa"/>
            </w:tcMar>
          </w:tcPr>
          <w:p>
            <w:pPr>
              <w:jc w:val="left"/>
            </w:pPr>
            <w:r>
              <w:rPr>
                <w:rFonts w:ascii="Calibri" w:hAnsi="Calibri"/>
                <w:color w:val="1E293B"/>
                <w:sz w:val="18"/>
              </w:rPr>
              <w:t>&gt; 0.05</w:t>
            </w:r>
          </w:p>
        </w:tc>
        <w:tc>
          <w:tcPr>
            <w:tcW w:type="dxa" w:w="1440"/>
            <w:shd w:val="clear" w:color="auto" w:fill="FDF8F5"/>
            <w:tcMar>
              <w:top w:w="75" w:type="dxa"/>
              <w:bottom w:w="75" w:type="dxa"/>
              <w:left w:w="130" w:type="dxa"/>
              <w:right w:w="130" w:type="dxa"/>
            </w:tcMar>
          </w:tcPr>
          <w:p>
            <w:pPr>
              <w:jc w:val="left"/>
            </w:pPr>
            <w:r>
              <w:rPr>
                <w:rFonts w:ascii="Calibri" w:hAnsi="Calibri"/>
                <w:color w:val="1E293B"/>
                <w:sz w:val="18"/>
              </w:rPr>
              <w:t>Zero Mode Collapse</w:t>
            </w:r>
          </w:p>
        </w:tc>
      </w:tr>
      <w:tr>
        <w:tc>
          <w:tcPr>
            <w:tcW w:type="dxa" w:w="2880"/>
            <w:shd w:val="clear" w:color="auto" w:fill="FFFFFF"/>
            <w:tcMar>
              <w:top w:w="75" w:type="dxa"/>
              <w:bottom w:w="75" w:type="dxa"/>
              <w:left w:w="130" w:type="dxa"/>
              <w:right w:w="130" w:type="dxa"/>
            </w:tcMar>
          </w:tcPr>
          <w:p>
            <w:pPr>
              <w:jc w:val="left"/>
            </w:pPr>
            <w:r>
              <w:rPr>
                <w:rFonts w:ascii="Calibri" w:hAnsi="Calibri"/>
                <w:color w:val="1E293B"/>
                <w:sz w:val="18"/>
              </w:rPr>
              <w:t>Final Generator Loss (L_G)</w:t>
            </w:r>
          </w:p>
        </w:tc>
        <w:tc>
          <w:tcPr>
            <w:tcW w:type="dxa" w:w="1872"/>
            <w:shd w:val="clear" w:color="auto" w:fill="FFFFFF"/>
            <w:tcMar>
              <w:top w:w="75" w:type="dxa"/>
              <w:bottom w:w="75" w:type="dxa"/>
              <w:left w:w="130" w:type="dxa"/>
              <w:right w:w="130" w:type="dxa"/>
            </w:tcMar>
          </w:tcPr>
          <w:p>
            <w:pPr>
              <w:jc w:val="left"/>
            </w:pPr>
            <w:r>
              <w:rPr>
                <w:rFonts w:ascii="Calibri" w:hAnsi="Calibri"/>
                <w:color w:val="1E293B"/>
                <w:sz w:val="18"/>
              </w:rPr>
              <w:t>6.842 (Diverged)</w:t>
            </w:r>
          </w:p>
        </w:tc>
        <w:tc>
          <w:tcPr>
            <w:tcW w:type="dxa" w:w="1872"/>
            <w:shd w:val="clear" w:color="auto" w:fill="FFFFFF"/>
            <w:tcMar>
              <w:top w:w="75" w:type="dxa"/>
              <w:bottom w:w="75" w:type="dxa"/>
              <w:left w:w="130" w:type="dxa"/>
              <w:right w:w="130" w:type="dxa"/>
            </w:tcMar>
          </w:tcPr>
          <w:p>
            <w:pPr>
              <w:jc w:val="left"/>
            </w:pPr>
            <w:r>
              <w:rPr>
                <w:rFonts w:ascii="Calibri" w:hAnsi="Calibri"/>
                <w:color w:val="1E293B"/>
                <w:sz w:val="18"/>
              </w:rPr>
              <w:t>2.703</w:t>
            </w:r>
          </w:p>
        </w:tc>
        <w:tc>
          <w:tcPr>
            <w:tcW w:type="dxa" w:w="1440"/>
            <w:shd w:val="clear" w:color="auto" w:fill="FFFFFF"/>
            <w:tcMar>
              <w:top w:w="75" w:type="dxa"/>
              <w:bottom w:w="75" w:type="dxa"/>
              <w:left w:w="130" w:type="dxa"/>
              <w:right w:w="130" w:type="dxa"/>
            </w:tcMar>
          </w:tcPr>
          <w:p>
            <w:pPr>
              <w:jc w:val="left"/>
            </w:pPr>
            <w:r>
              <w:rPr>
                <w:rFonts w:ascii="Calibri" w:hAnsi="Calibri"/>
                <w:color w:val="1E293B"/>
                <w:sz w:val="18"/>
              </w:rPr>
              <w:t>~2.5 - 3.0</w:t>
            </w:r>
          </w:p>
        </w:tc>
        <w:tc>
          <w:tcPr>
            <w:tcW w:type="dxa" w:w="1440"/>
            <w:shd w:val="clear" w:color="auto" w:fill="FFFFFF"/>
            <w:tcMar>
              <w:top w:w="75" w:type="dxa"/>
              <w:bottom w:w="75" w:type="dxa"/>
              <w:left w:w="130" w:type="dxa"/>
              <w:right w:w="130" w:type="dxa"/>
            </w:tcMar>
          </w:tcPr>
          <w:p>
            <w:pPr>
              <w:jc w:val="left"/>
            </w:pPr>
            <w:r>
              <w:rPr>
                <w:rFonts w:ascii="Calibri" w:hAnsi="Calibri"/>
                <w:color w:val="1E293B"/>
                <w:sz w:val="18"/>
              </w:rPr>
              <w:t>Stable Nash Equilibrium</w:t>
            </w:r>
          </w:p>
        </w:tc>
      </w:tr>
      <w:tr>
        <w:tc>
          <w:tcPr>
            <w:tcW w:type="dxa" w:w="2880"/>
            <w:shd w:val="clear" w:color="auto" w:fill="FDF8F5"/>
            <w:tcMar>
              <w:top w:w="75" w:type="dxa"/>
              <w:bottom w:w="75" w:type="dxa"/>
              <w:left w:w="130" w:type="dxa"/>
              <w:right w:w="130" w:type="dxa"/>
            </w:tcMar>
          </w:tcPr>
          <w:p>
            <w:pPr>
              <w:jc w:val="left"/>
            </w:pPr>
            <w:r>
              <w:rPr>
                <w:rFonts w:ascii="Calibri" w:hAnsi="Calibri"/>
                <w:color w:val="1E293B"/>
                <w:sz w:val="18"/>
              </w:rPr>
              <w:t>Final Discriminator Loss (L_D)</w:t>
            </w:r>
          </w:p>
        </w:tc>
        <w:tc>
          <w:tcPr>
            <w:tcW w:type="dxa" w:w="1872"/>
            <w:shd w:val="clear" w:color="auto" w:fill="FDF8F5"/>
            <w:tcMar>
              <w:top w:w="75" w:type="dxa"/>
              <w:bottom w:w="75" w:type="dxa"/>
              <w:left w:w="130" w:type="dxa"/>
              <w:right w:w="130" w:type="dxa"/>
            </w:tcMar>
          </w:tcPr>
          <w:p>
            <w:pPr>
              <w:jc w:val="left"/>
            </w:pPr>
            <w:r>
              <w:rPr>
                <w:rFonts w:ascii="Calibri" w:hAnsi="Calibri"/>
                <w:color w:val="1E293B"/>
                <w:sz w:val="18"/>
              </w:rPr>
              <w:t>0.104 (Vanished)</w:t>
            </w:r>
          </w:p>
        </w:tc>
        <w:tc>
          <w:tcPr>
            <w:tcW w:type="dxa" w:w="1872"/>
            <w:shd w:val="clear" w:color="auto" w:fill="FDF8F5"/>
            <w:tcMar>
              <w:top w:w="75" w:type="dxa"/>
              <w:bottom w:w="75" w:type="dxa"/>
              <w:left w:w="130" w:type="dxa"/>
              <w:right w:w="130" w:type="dxa"/>
            </w:tcMar>
          </w:tcPr>
          <w:p>
            <w:pPr>
              <w:jc w:val="left"/>
            </w:pPr>
            <w:r>
              <w:rPr>
                <w:rFonts w:ascii="Calibri" w:hAnsi="Calibri"/>
                <w:color w:val="1E293B"/>
                <w:sz w:val="18"/>
              </w:rPr>
              <w:t>2.865</w:t>
            </w:r>
          </w:p>
        </w:tc>
        <w:tc>
          <w:tcPr>
            <w:tcW w:type="dxa" w:w="1440"/>
            <w:shd w:val="clear" w:color="auto" w:fill="FDF8F5"/>
            <w:tcMar>
              <w:top w:w="75" w:type="dxa"/>
              <w:bottom w:w="75" w:type="dxa"/>
              <w:left w:w="130" w:type="dxa"/>
              <w:right w:w="130" w:type="dxa"/>
            </w:tcMar>
          </w:tcPr>
          <w:p>
            <w:pPr>
              <w:jc w:val="left"/>
            </w:pPr>
            <w:r>
              <w:rPr>
                <w:rFonts w:ascii="Calibri" w:hAnsi="Calibri"/>
                <w:color w:val="1E293B"/>
                <w:sz w:val="18"/>
              </w:rPr>
              <w:t>~2.5 - 3.0</w:t>
            </w:r>
          </w:p>
        </w:tc>
        <w:tc>
          <w:tcPr>
            <w:tcW w:type="dxa" w:w="1440"/>
            <w:shd w:val="clear" w:color="auto" w:fill="FDF8F5"/>
            <w:tcMar>
              <w:top w:w="75" w:type="dxa"/>
              <w:bottom w:w="75" w:type="dxa"/>
              <w:left w:w="130" w:type="dxa"/>
              <w:right w:w="130" w:type="dxa"/>
            </w:tcMar>
          </w:tcPr>
          <w:p>
            <w:pPr>
              <w:jc w:val="left"/>
            </w:pPr>
            <w:r>
              <w:rPr>
                <w:rFonts w:ascii="Calibri" w:hAnsi="Calibri"/>
                <w:color w:val="1E293B"/>
                <w:sz w:val="18"/>
              </w:rPr>
              <w:t>Balanced Gradient Pressure</w:t>
            </w:r>
          </w:p>
        </w:tc>
      </w:tr>
      <w:tr>
        <w:tc>
          <w:tcPr>
            <w:tcW w:type="dxa" w:w="2880"/>
            <w:shd w:val="clear" w:color="auto" w:fill="FFFFFF"/>
            <w:tcMar>
              <w:top w:w="75" w:type="dxa"/>
              <w:bottom w:w="75" w:type="dxa"/>
              <w:left w:w="130" w:type="dxa"/>
              <w:right w:w="130" w:type="dxa"/>
            </w:tcMar>
          </w:tcPr>
          <w:p>
            <w:pPr>
              <w:jc w:val="left"/>
            </w:pPr>
            <w:r>
              <w:rPr>
                <w:rFonts w:ascii="Calibri" w:hAnsi="Calibri"/>
                <w:color w:val="1E293B"/>
                <w:sz w:val="18"/>
              </w:rPr>
              <w:t>Zero-Gradient Parameter Ratio</w:t>
            </w:r>
          </w:p>
        </w:tc>
        <w:tc>
          <w:tcPr>
            <w:tcW w:type="dxa" w:w="1872"/>
            <w:shd w:val="clear" w:color="auto" w:fill="FFFFFF"/>
            <w:tcMar>
              <w:top w:w="75" w:type="dxa"/>
              <w:bottom w:w="75" w:type="dxa"/>
              <w:left w:w="130" w:type="dxa"/>
              <w:right w:w="130" w:type="dxa"/>
            </w:tcMar>
          </w:tcPr>
          <w:p>
            <w:pPr>
              <w:jc w:val="left"/>
            </w:pPr>
            <w:r>
              <w:rPr>
                <w:rFonts w:ascii="Calibri" w:hAnsi="Calibri"/>
                <w:color w:val="1E293B"/>
                <w:sz w:val="18"/>
              </w:rPr>
              <w:t>34.2%</w:t>
            </w:r>
          </w:p>
        </w:tc>
        <w:tc>
          <w:tcPr>
            <w:tcW w:type="dxa" w:w="1872"/>
            <w:shd w:val="clear" w:color="auto" w:fill="FFFFFF"/>
            <w:tcMar>
              <w:top w:w="75" w:type="dxa"/>
              <w:bottom w:w="75" w:type="dxa"/>
              <w:left w:w="130" w:type="dxa"/>
              <w:right w:w="130" w:type="dxa"/>
            </w:tcMar>
          </w:tcPr>
          <w:p>
            <w:pPr>
              <w:jc w:val="left"/>
            </w:pPr>
            <w:r>
              <w:rPr>
                <w:rFonts w:ascii="Calibri" w:hAnsi="Calibri"/>
                <w:color w:val="1E293B"/>
                <w:sz w:val="18"/>
              </w:rPr>
              <w:t>0.00%</w:t>
            </w:r>
          </w:p>
        </w:tc>
        <w:tc>
          <w:tcPr>
            <w:tcW w:type="dxa" w:w="1440"/>
            <w:shd w:val="clear" w:color="auto" w:fill="FFFFFF"/>
            <w:tcMar>
              <w:top w:w="75" w:type="dxa"/>
              <w:bottom w:w="75" w:type="dxa"/>
              <w:left w:w="130" w:type="dxa"/>
              <w:right w:w="130" w:type="dxa"/>
            </w:tcMar>
          </w:tcPr>
          <w:p>
            <w:pPr>
              <w:jc w:val="left"/>
            </w:pPr>
            <w:r>
              <w:rPr>
                <w:rFonts w:ascii="Calibri" w:hAnsi="Calibri"/>
                <w:color w:val="1E293B"/>
                <w:sz w:val="18"/>
              </w:rPr>
              <w:t>0.00%</w:t>
            </w:r>
          </w:p>
        </w:tc>
        <w:tc>
          <w:tcPr>
            <w:tcW w:type="dxa" w:w="1440"/>
            <w:shd w:val="clear" w:color="auto" w:fill="FFFFFF"/>
            <w:tcMar>
              <w:top w:w="75" w:type="dxa"/>
              <w:bottom w:w="75" w:type="dxa"/>
              <w:left w:w="130" w:type="dxa"/>
              <w:right w:w="130" w:type="dxa"/>
            </w:tcMar>
          </w:tcPr>
          <w:p>
            <w:pPr>
              <w:jc w:val="left"/>
            </w:pPr>
            <w:r>
              <w:rPr>
                <w:rFonts w:ascii="Calibri" w:hAnsi="Calibri"/>
                <w:color w:val="1E293B"/>
                <w:sz w:val="18"/>
              </w:rPr>
              <w:t>100% Parameter Activity</w:t>
            </w:r>
          </w:p>
        </w:tc>
      </w:tr>
    </w:tbl>
    <w:p>
      <w:pPr>
        <w:spacing w:after="120"/>
      </w:pPr>
    </w:p>
    <w:p>
      <w:pPr>
        <w:keepNext/>
        <w:spacing w:before="220" w:after="80"/>
      </w:pPr>
      <w:r>
        <w:rPr>
          <w:rFonts w:ascii="Calibri" w:hAnsi="Calibri"/>
          <w:b/>
          <w:color w:val="0E7490"/>
          <w:sz w:val="23"/>
        </w:rPr>
        <w:t>4.1 Auxiliary Classifier 11x11 Confusion Matrix</w:t>
      </w:r>
    </w:p>
    <w:p>
      <w:pPr>
        <w:spacing w:after="100" w:line="276" w:lineRule="auto"/>
      </w:pPr>
      <w:r>
        <w:rPr>
          <w:rFonts w:ascii="Calibri" w:hAnsi="Calibri"/>
          <w:color w:val="334155"/>
          <w:sz w:val="20"/>
        </w:rPr>
        <w:t>Figure 2 illustrates the 11x11 confusion matrix across 1,100 held-out generated dishes, confirming strong diagonal fidelity with natural culinary off-diagonal overlap between visually related foods (e.g. Fried food and Bread):</w:t>
      </w:r>
    </w:p>
    <w:p>
      <w:pPr>
        <w:spacing w:before="120" w:after="40"/>
        <w:jc w:val="center"/>
      </w:pPr>
      <w:r>
        <w:drawing>
          <wp:inline xmlns:a="http://schemas.openxmlformats.org/drawingml/2006/main" xmlns:pic="http://schemas.openxmlformats.org/drawingml/2006/picture">
            <wp:extent cx="5303520" cy="4827317"/>
            <wp:docPr id="2" name="Picture 2"/>
            <wp:cNvGraphicFramePr>
              <a:graphicFrameLocks noChangeAspect="1"/>
            </wp:cNvGraphicFramePr>
            <a:graphic>
              <a:graphicData uri="http://schemas.openxmlformats.org/drawingml/2006/picture">
                <pic:pic>
                  <pic:nvPicPr>
                    <pic:cNvPr id="0" name="gan_aux_confusion_matrix.png"/>
                    <pic:cNvPicPr/>
                  </pic:nvPicPr>
                  <pic:blipFill>
                    <a:blip r:embed="rId10"/>
                    <a:stretch>
                      <a:fillRect/>
                    </a:stretch>
                  </pic:blipFill>
                  <pic:spPr>
                    <a:xfrm>
                      <a:off x="0" y="0"/>
                      <a:ext cx="5303520" cy="4827317"/>
                    </a:xfrm>
                    <a:prstGeom prst="rect"/>
                  </pic:spPr>
                </pic:pic>
              </a:graphicData>
            </a:graphic>
          </wp:inline>
        </w:drawing>
      </w:r>
    </w:p>
    <w:p>
      <w:pPr>
        <w:spacing w:after="200"/>
        <w:jc w:val="center"/>
      </w:pPr>
      <w:r>
        <w:rPr>
          <w:rFonts w:ascii="Calibri" w:hAnsi="Calibri"/>
          <w:i/>
          <w:color w:val="64748B"/>
          <w:sz w:val="18"/>
        </w:rPr>
        <w:t>Figure 2: Auxiliary Classifier 11x11 Confusion Matrix across the Food-11 Taxonomy (Overall Accuracy: 55.51%).</w:t>
      </w:r>
    </w:p>
    <w:p>
      <w:pPr>
        <w:keepNext/>
        <w:spacing w:before="220" w:after="80"/>
      </w:pPr>
      <w:r>
        <w:rPr>
          <w:rFonts w:ascii="Calibri" w:hAnsi="Calibri"/>
          <w:b/>
          <w:color w:val="0E7490"/>
          <w:sz w:val="23"/>
        </w:rPr>
        <w:t>4.2 Per-Class Precision, Recall, and F1-Score Breakdown</w:t>
      </w:r>
    </w:p>
    <w:p>
      <w:pPr>
        <w:spacing w:after="100" w:line="276" w:lineRule="auto"/>
      </w:pPr>
      <w:r>
        <w:rPr>
          <w:rFonts w:ascii="Calibri" w:hAnsi="Calibri"/>
          <w:color w:val="334155"/>
          <w:sz w:val="20"/>
        </w:rPr>
        <w:t>Figure 3 presents the per-class precision, recall, and harmonic F1-score across all 11 Food-11 taxonomic classes:</w:t>
      </w:r>
    </w:p>
    <w:p>
      <w:pPr>
        <w:spacing w:before="120" w:after="40"/>
        <w:jc w:val="center"/>
      </w:pPr>
      <w:r>
        <w:drawing>
          <wp:inline xmlns:a="http://schemas.openxmlformats.org/drawingml/2006/main" xmlns:pic="http://schemas.openxmlformats.org/drawingml/2006/picture">
            <wp:extent cx="5486400" cy="2978235"/>
            <wp:docPr id="3" name="Picture 3"/>
            <wp:cNvGraphicFramePr>
              <a:graphicFrameLocks noChangeAspect="1"/>
            </wp:cNvGraphicFramePr>
            <a:graphic>
              <a:graphicData uri="http://schemas.openxmlformats.org/drawingml/2006/picture">
                <pic:pic>
                  <pic:nvPicPr>
                    <pic:cNvPr id="0" name="gan_per_class_f1_metrics.png"/>
                    <pic:cNvPicPr/>
                  </pic:nvPicPr>
                  <pic:blipFill>
                    <a:blip r:embed="rId11"/>
                    <a:stretch>
                      <a:fillRect/>
                    </a:stretch>
                  </pic:blipFill>
                  <pic:spPr>
                    <a:xfrm>
                      <a:off x="0" y="0"/>
                      <a:ext cx="5486400" cy="2978235"/>
                    </a:xfrm>
                    <a:prstGeom prst="rect"/>
                  </pic:spPr>
                </pic:pic>
              </a:graphicData>
            </a:graphic>
          </wp:inline>
        </w:drawing>
      </w:r>
    </w:p>
    <w:p>
      <w:pPr>
        <w:spacing w:after="200"/>
        <w:jc w:val="center"/>
      </w:pPr>
      <w:r>
        <w:rPr>
          <w:rFonts w:ascii="Calibri" w:hAnsi="Calibri"/>
          <w:i/>
          <w:color w:val="64748B"/>
          <w:sz w:val="18"/>
        </w:rPr>
        <w:t>Figure 3: Per-Class Precision, Recall, and F1-Score Breakdown Across the 11 Food-11 Taxonomic Classes.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val="clear" w:color="auto" w:fill="8B3A0F"/>
            <w:tcMar>
              <w:top w:w="110" w:type="dxa"/>
              <w:bottom w:w="110" w:type="dxa"/>
              <w:left w:w="130" w:type="dxa"/>
              <w:right w:w="130" w:type="dxa"/>
            </w:tcMar>
          </w:tcPr>
          <w:p>
            <w:pPr>
              <w:jc w:val="left"/>
            </w:pPr>
            <w:r>
              <w:rPr>
                <w:rFonts w:ascii="Calibri" w:hAnsi="Calibri"/>
                <w:b/>
                <w:color w:val="FFFFFF"/>
                <w:sz w:val="19"/>
              </w:rPr>
              <w:t>Class ID &amp; Name</w:t>
            </w:r>
          </w:p>
        </w:tc>
        <w:tc>
          <w:tcPr>
            <w:tcW w:type="dxa" w:w="1152"/>
            <w:shd w:val="clear" w:color="auto" w:fill="8B3A0F"/>
            <w:tcMar>
              <w:top w:w="110" w:type="dxa"/>
              <w:bottom w:w="110" w:type="dxa"/>
              <w:left w:w="130" w:type="dxa"/>
              <w:right w:w="130" w:type="dxa"/>
            </w:tcMar>
          </w:tcPr>
          <w:p>
            <w:pPr>
              <w:jc w:val="left"/>
            </w:pPr>
            <w:r>
              <w:rPr>
                <w:rFonts w:ascii="Calibri" w:hAnsi="Calibri"/>
                <w:b/>
                <w:color w:val="FFFFFF"/>
                <w:sz w:val="19"/>
              </w:rPr>
              <w:t>Precision</w:t>
            </w:r>
          </w:p>
        </w:tc>
        <w:tc>
          <w:tcPr>
            <w:tcW w:type="dxa" w:w="1152"/>
            <w:shd w:val="clear" w:color="auto" w:fill="8B3A0F"/>
            <w:tcMar>
              <w:top w:w="110" w:type="dxa"/>
              <w:bottom w:w="110" w:type="dxa"/>
              <w:left w:w="130" w:type="dxa"/>
              <w:right w:w="130" w:type="dxa"/>
            </w:tcMar>
          </w:tcPr>
          <w:p>
            <w:pPr>
              <w:jc w:val="left"/>
            </w:pPr>
            <w:r>
              <w:rPr>
                <w:rFonts w:ascii="Calibri" w:hAnsi="Calibri"/>
                <w:b/>
                <w:color w:val="FFFFFF"/>
                <w:sz w:val="19"/>
              </w:rPr>
              <w:t>Recall</w:t>
            </w:r>
          </w:p>
        </w:tc>
        <w:tc>
          <w:tcPr>
            <w:tcW w:type="dxa" w:w="1152"/>
            <w:shd w:val="clear" w:color="auto" w:fill="8B3A0F"/>
            <w:tcMar>
              <w:top w:w="110" w:type="dxa"/>
              <w:bottom w:w="110" w:type="dxa"/>
              <w:left w:w="130" w:type="dxa"/>
              <w:right w:w="130" w:type="dxa"/>
            </w:tcMar>
          </w:tcPr>
          <w:p>
            <w:pPr>
              <w:jc w:val="left"/>
            </w:pPr>
            <w:r>
              <w:rPr>
                <w:rFonts w:ascii="Calibri" w:hAnsi="Calibri"/>
                <w:b/>
                <w:color w:val="FFFFFF"/>
                <w:sz w:val="19"/>
              </w:rPr>
              <w:t>F1-Score</w:t>
            </w:r>
          </w:p>
        </w:tc>
        <w:tc>
          <w:tcPr>
            <w:tcW w:type="dxa" w:w="1008"/>
            <w:shd w:val="clear" w:color="auto" w:fill="8B3A0F"/>
            <w:tcMar>
              <w:top w:w="110" w:type="dxa"/>
              <w:bottom w:w="110" w:type="dxa"/>
              <w:left w:w="130" w:type="dxa"/>
              <w:right w:w="130" w:type="dxa"/>
            </w:tcMar>
          </w:tcPr>
          <w:p>
            <w:pPr>
              <w:jc w:val="left"/>
            </w:pPr>
            <w:r>
              <w:rPr>
                <w:rFonts w:ascii="Calibri" w:hAnsi="Calibri"/>
                <w:b/>
                <w:color w:val="FFFFFF"/>
                <w:sz w:val="19"/>
              </w:rPr>
              <w:t>Support</w:t>
            </w:r>
          </w:p>
        </w:tc>
        <w:tc>
          <w:tcPr>
            <w:tcW w:type="dxa" w:w="2880"/>
            <w:shd w:val="clear" w:color="auto" w:fill="8B3A0F"/>
            <w:tcMar>
              <w:top w:w="110" w:type="dxa"/>
              <w:bottom w:w="110" w:type="dxa"/>
              <w:left w:w="130" w:type="dxa"/>
              <w:right w:w="130" w:type="dxa"/>
            </w:tcMar>
          </w:tcPr>
          <w:p>
            <w:pPr>
              <w:jc w:val="left"/>
            </w:pPr>
            <w:r>
              <w:rPr>
                <w:rFonts w:ascii="Calibri" w:hAnsi="Calibri"/>
                <w:b/>
                <w:color w:val="FFFFFF"/>
                <w:sz w:val="19"/>
              </w:rPr>
              <w:t>Distinguishing Morphological Attributes</w:t>
            </w:r>
          </w:p>
        </w:tc>
      </w:tr>
      <w:tr>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0: Bread</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0.56</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0.58</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0.57</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FFFFF"/>
            <w:tcMar>
              <w:top w:w="75" w:type="dxa"/>
              <w:bottom w:w="75" w:type="dxa"/>
              <w:left w:w="130" w:type="dxa"/>
              <w:right w:w="130" w:type="dxa"/>
            </w:tcMar>
          </w:tcPr>
          <w:p>
            <w:pPr>
              <w:jc w:val="left"/>
            </w:pPr>
            <w:r>
              <w:rPr>
                <w:rFonts w:ascii="Calibri" w:hAnsi="Calibri"/>
                <w:color w:val="1E293B"/>
                <w:sz w:val="18"/>
              </w:rPr>
              <w:t>Golden-brown crust, porous aerated crumb pores</w:t>
            </w:r>
          </w:p>
        </w:tc>
      </w:tr>
      <w:tr>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1: Dairy product</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0.51</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0.52</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0.51</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DF8F5"/>
            <w:tcMar>
              <w:top w:w="75" w:type="dxa"/>
              <w:bottom w:w="75" w:type="dxa"/>
              <w:left w:w="130" w:type="dxa"/>
              <w:right w:w="130" w:type="dxa"/>
            </w:tcMar>
          </w:tcPr>
          <w:p>
            <w:pPr>
              <w:jc w:val="left"/>
            </w:pPr>
            <w:r>
              <w:rPr>
                <w:rFonts w:ascii="Calibri" w:hAnsi="Calibri"/>
                <w:color w:val="1E293B"/>
                <w:sz w:val="18"/>
              </w:rPr>
              <w:t>Creamy pale sheen, smooth cheese surface</w:t>
            </w:r>
          </w:p>
        </w:tc>
      </w:tr>
      <w:tr>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2: Dessert</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0.61</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0.60</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0.60</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FFFFF"/>
            <w:tcMar>
              <w:top w:w="75" w:type="dxa"/>
              <w:bottom w:w="75" w:type="dxa"/>
              <w:left w:w="130" w:type="dxa"/>
              <w:right w:w="130" w:type="dxa"/>
            </w:tcMar>
          </w:tcPr>
          <w:p>
            <w:pPr>
              <w:jc w:val="left"/>
            </w:pPr>
            <w:r>
              <w:rPr>
                <w:rFonts w:ascii="Calibri" w:hAnsi="Calibri"/>
                <w:color w:val="1E293B"/>
                <w:sz w:val="18"/>
              </w:rPr>
              <w:t>Multi-colored icing tiers, glossy berry glazes</w:t>
            </w:r>
          </w:p>
        </w:tc>
      </w:tr>
      <w:tr>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3: Egg</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0.66</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0.64</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0.65</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DF8F5"/>
            <w:tcMar>
              <w:top w:w="75" w:type="dxa"/>
              <w:bottom w:w="75" w:type="dxa"/>
              <w:left w:w="130" w:type="dxa"/>
              <w:right w:w="130" w:type="dxa"/>
            </w:tcMar>
          </w:tcPr>
          <w:p>
            <w:pPr>
              <w:jc w:val="left"/>
            </w:pPr>
            <w:r>
              <w:rPr>
                <w:rFonts w:ascii="Calibri" w:hAnsi="Calibri"/>
                <w:color w:val="1E293B"/>
                <w:sz w:val="18"/>
              </w:rPr>
              <w:t>Bright yellow circular yolk core, white albumen border</w:t>
            </w:r>
          </w:p>
        </w:tc>
      </w:tr>
      <w:tr>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4: Fried food</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0.47</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0.48</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0.47</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FFFFF"/>
            <w:tcMar>
              <w:top w:w="75" w:type="dxa"/>
              <w:bottom w:w="75" w:type="dxa"/>
              <w:left w:w="130" w:type="dxa"/>
              <w:right w:w="130" w:type="dxa"/>
            </w:tcMar>
          </w:tcPr>
          <w:p>
            <w:pPr>
              <w:jc w:val="left"/>
            </w:pPr>
            <w:r>
              <w:rPr>
                <w:rFonts w:ascii="Calibri" w:hAnsi="Calibri"/>
                <w:color w:val="1E293B"/>
                <w:sz w:val="18"/>
              </w:rPr>
              <w:t>Deep amber batter coating, irregular crisp edges</w:t>
            </w:r>
          </w:p>
        </w:tc>
      </w:tr>
      <w:tr>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5: Meat</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0.54</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0.55</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0.54</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DF8F5"/>
            <w:tcMar>
              <w:top w:w="75" w:type="dxa"/>
              <w:bottom w:w="75" w:type="dxa"/>
              <w:left w:w="130" w:type="dxa"/>
              <w:right w:w="130" w:type="dxa"/>
            </w:tcMar>
          </w:tcPr>
          <w:p>
            <w:pPr>
              <w:jc w:val="left"/>
            </w:pPr>
            <w:r>
              <w:rPr>
                <w:rFonts w:ascii="Calibri" w:hAnsi="Calibri"/>
                <w:color w:val="1E293B"/>
                <w:sz w:val="18"/>
              </w:rPr>
              <w:t>Seared umber tones, fibrous grain lines, caramelization</w:t>
            </w:r>
          </w:p>
        </w:tc>
      </w:tr>
      <w:tr>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6: Noodles-Pasta</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0.63</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0.62</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0.62</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FFFFF"/>
            <w:tcMar>
              <w:top w:w="75" w:type="dxa"/>
              <w:bottom w:w="75" w:type="dxa"/>
              <w:left w:w="130" w:type="dxa"/>
              <w:right w:w="130" w:type="dxa"/>
            </w:tcMar>
          </w:tcPr>
          <w:p>
            <w:pPr>
              <w:jc w:val="left"/>
            </w:pPr>
            <w:r>
              <w:rPr>
                <w:rFonts w:ascii="Calibri" w:hAnsi="Calibri"/>
                <w:color w:val="1E293B"/>
                <w:sz w:val="18"/>
              </w:rPr>
              <w:t>Curvilinear braided ribbons, sauce reflections</w:t>
            </w:r>
          </w:p>
        </w:tc>
      </w:tr>
      <w:tr>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7: Rice</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0.58</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0.57</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0.57</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DF8F5"/>
            <w:tcMar>
              <w:top w:w="75" w:type="dxa"/>
              <w:bottom w:w="75" w:type="dxa"/>
              <w:left w:w="130" w:type="dxa"/>
              <w:right w:w="130" w:type="dxa"/>
            </w:tcMar>
          </w:tcPr>
          <w:p>
            <w:pPr>
              <w:jc w:val="left"/>
            </w:pPr>
            <w:r>
              <w:rPr>
                <w:rFonts w:ascii="Calibri" w:hAnsi="Calibri"/>
                <w:color w:val="1E293B"/>
                <w:sz w:val="18"/>
              </w:rPr>
              <w:t>Granular micro-pebble texture, bowl curvature contrast</w:t>
            </w:r>
          </w:p>
        </w:tc>
      </w:tr>
      <w:tr>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8: Seafood</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0.49</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0.50</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0.49</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FFFFF"/>
            <w:tcMar>
              <w:top w:w="75" w:type="dxa"/>
              <w:bottom w:w="75" w:type="dxa"/>
              <w:left w:w="130" w:type="dxa"/>
              <w:right w:w="130" w:type="dxa"/>
            </w:tcMar>
          </w:tcPr>
          <w:p>
            <w:pPr>
              <w:jc w:val="left"/>
            </w:pPr>
            <w:r>
              <w:rPr>
                <w:rFonts w:ascii="Calibri" w:hAnsi="Calibri"/>
                <w:color w:val="1E293B"/>
                <w:sz w:val="18"/>
              </w:rPr>
              <w:t>Coral/pink shrimp curves, scaled skin highlights</w:t>
            </w:r>
          </w:p>
        </w:tc>
      </w:tr>
      <w:tr>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9: Soup</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0.55</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0.56</w:t>
            </w:r>
          </w:p>
        </w:tc>
        <w:tc>
          <w:tcPr>
            <w:tcW w:type="dxa" w:w="1152"/>
            <w:shd w:val="clear" w:color="auto" w:fill="FDF8F5"/>
            <w:tcMar>
              <w:top w:w="75" w:type="dxa"/>
              <w:bottom w:w="75" w:type="dxa"/>
              <w:left w:w="130" w:type="dxa"/>
              <w:right w:w="130" w:type="dxa"/>
            </w:tcMar>
          </w:tcPr>
          <w:p>
            <w:pPr>
              <w:jc w:val="left"/>
            </w:pPr>
            <w:r>
              <w:rPr>
                <w:rFonts w:ascii="Calibri" w:hAnsi="Calibri"/>
                <w:color w:val="1E293B"/>
                <w:sz w:val="18"/>
              </w:rPr>
              <w:t>0.55</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DF8F5"/>
            <w:tcMar>
              <w:top w:w="75" w:type="dxa"/>
              <w:bottom w:w="75" w:type="dxa"/>
              <w:left w:w="130" w:type="dxa"/>
              <w:right w:w="130" w:type="dxa"/>
            </w:tcMar>
          </w:tcPr>
          <w:p>
            <w:pPr>
              <w:jc w:val="left"/>
            </w:pPr>
            <w:r>
              <w:rPr>
                <w:rFonts w:ascii="Calibri" w:hAnsi="Calibri"/>
                <w:color w:val="1E293B"/>
                <w:sz w:val="18"/>
              </w:rPr>
              <w:t>Fluid surface meniscus reflection, floating garnish</w:t>
            </w:r>
          </w:p>
        </w:tc>
      </w:tr>
      <w:tr>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10: Vegetable-Fruit</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0.60</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0.59</w:t>
            </w:r>
          </w:p>
        </w:tc>
        <w:tc>
          <w:tcPr>
            <w:tcW w:type="dxa" w:w="1152"/>
            <w:shd w:val="clear" w:color="auto" w:fill="FFFFFF"/>
            <w:tcMar>
              <w:top w:w="75" w:type="dxa"/>
              <w:bottom w:w="75" w:type="dxa"/>
              <w:left w:w="130" w:type="dxa"/>
              <w:right w:w="130" w:type="dxa"/>
            </w:tcMar>
          </w:tcPr>
          <w:p>
            <w:pPr>
              <w:jc w:val="left"/>
            </w:pPr>
            <w:r>
              <w:rPr>
                <w:rFonts w:ascii="Calibri" w:hAnsi="Calibri"/>
                <w:color w:val="1E293B"/>
                <w:sz w:val="18"/>
              </w:rPr>
              <w:t>0.59</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100</w:t>
            </w:r>
          </w:p>
        </w:tc>
        <w:tc>
          <w:tcPr>
            <w:tcW w:type="dxa" w:w="2880"/>
            <w:shd w:val="clear" w:color="auto" w:fill="FFFFFF"/>
            <w:tcMar>
              <w:top w:w="75" w:type="dxa"/>
              <w:bottom w:w="75" w:type="dxa"/>
              <w:left w:w="130" w:type="dxa"/>
              <w:right w:w="130" w:type="dxa"/>
            </w:tcMar>
          </w:tcPr>
          <w:p>
            <w:pPr>
              <w:jc w:val="left"/>
            </w:pPr>
            <w:r>
              <w:rPr>
                <w:rFonts w:ascii="Calibri" w:hAnsi="Calibri"/>
                <w:color w:val="1E293B"/>
                <w:sz w:val="18"/>
              </w:rPr>
              <w:t>Chlorophyll greens, saturated berry pigments</w:t>
            </w:r>
          </w:p>
        </w:tc>
      </w:tr>
    </w:tbl>
    <w:p>
      <w:pPr>
        <w:spacing w:after="120"/>
      </w:pPr>
    </w:p>
    <w:p>
      <w:pPr>
        <w:keepNext/>
        <w:spacing w:before="220" w:after="80"/>
      </w:pPr>
      <w:r>
        <w:rPr>
          <w:rFonts w:ascii="Calibri" w:hAnsi="Calibri"/>
          <w:b/>
          <w:color w:val="0E7490"/>
          <w:sz w:val="23"/>
        </w:rPr>
        <w:t>4.3 Training Convergence Dynamics (Loss Trajectories)</w:t>
      </w:r>
    </w:p>
    <w:p>
      <w:pPr>
        <w:spacing w:after="100" w:line="276" w:lineRule="auto"/>
      </w:pPr>
      <w:r>
        <w:rPr>
          <w:rFonts w:ascii="Calibri" w:hAnsi="Calibri"/>
          <w:color w:val="334155"/>
          <w:sz w:val="20"/>
        </w:rPr>
        <w:t>Figure 4 shows the Generator and Discriminator training loss trajectories over training iterations:</w:t>
      </w:r>
    </w:p>
    <w:p>
      <w:pPr>
        <w:spacing w:before="120" w:after="40"/>
        <w:jc w:val="center"/>
      </w:pPr>
      <w:r>
        <w:drawing>
          <wp:inline xmlns:a="http://schemas.openxmlformats.org/drawingml/2006/main" xmlns:pic="http://schemas.openxmlformats.org/drawingml/2006/picture">
            <wp:extent cx="5303520" cy="2718977"/>
            <wp:docPr id="4" name="Picture 4"/>
            <wp:cNvGraphicFramePr>
              <a:graphicFrameLocks noChangeAspect="1"/>
            </wp:cNvGraphicFramePr>
            <a:graphic>
              <a:graphicData uri="http://schemas.openxmlformats.org/drawingml/2006/picture">
                <pic:pic>
                  <pic:nvPicPr>
                    <pic:cNvPr id="0" name="fig6_gan_loss_dynamics.png"/>
                    <pic:cNvPicPr/>
                  </pic:nvPicPr>
                  <pic:blipFill>
                    <a:blip r:embed="rId12"/>
                    <a:stretch>
                      <a:fillRect/>
                    </a:stretch>
                  </pic:blipFill>
                  <pic:spPr>
                    <a:xfrm>
                      <a:off x="0" y="0"/>
                      <a:ext cx="5303520" cy="2718977"/>
                    </a:xfrm>
                    <a:prstGeom prst="rect"/>
                  </pic:spPr>
                </pic:pic>
              </a:graphicData>
            </a:graphic>
          </wp:inline>
        </w:drawing>
      </w:r>
    </w:p>
    <w:p>
      <w:pPr>
        <w:spacing w:after="200"/>
        <w:jc w:val="center"/>
      </w:pPr>
      <w:r>
        <w:rPr>
          <w:rFonts w:ascii="Calibri" w:hAnsi="Calibri"/>
          <w:i/>
          <w:color w:val="64748B"/>
          <w:sz w:val="18"/>
        </w:rPr>
        <w:t>Figure 4: Generator and Discriminator Training Loss Trajectories Achieving Balanced Nash Equilibrium.</w:t>
      </w:r>
    </w:p>
    <w:p>
      <w:pPr>
        <w:keepNext/>
        <w:spacing w:before="320" w:after="120"/>
      </w:pPr>
      <w:r>
        <w:rPr>
          <w:rFonts w:ascii="Calibri" w:hAnsi="Calibri"/>
          <w:b/>
          <w:color w:val="8B3A0F"/>
          <w:sz w:val="28"/>
        </w:rPr>
        <w:t>5. Visual Synthesis Showcase Across All 11 Food-11 Classes</w:t>
      </w:r>
    </w:p>
    <w:p>
      <w:pPr>
        <w:spacing w:after="100" w:line="276" w:lineRule="auto"/>
      </w:pPr>
      <w:r>
        <w:rPr>
          <w:rFonts w:ascii="Calibri" w:hAnsi="Calibri"/>
          <w:color w:val="334155"/>
          <w:sz w:val="20"/>
        </w:rPr>
        <w:t>Figure 5 displays the full 11-class synthetic food matrix generated by the trained checkpoint, showing distinct culinary archetypes:</w:t>
      </w:r>
    </w:p>
    <w:p>
      <w:pPr>
        <w:spacing w:before="120" w:after="4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all_classes_grid.png"/>
                    <pic:cNvPicPr/>
                  </pic:nvPicPr>
                  <pic:blipFill>
                    <a:blip r:embed="rId13"/>
                    <a:stretch>
                      <a:fillRect/>
                    </a:stretch>
                  </pic:blipFill>
                  <pic:spPr>
                    <a:xfrm>
                      <a:off x="0" y="0"/>
                      <a:ext cx="5303520" cy="3977640"/>
                    </a:xfrm>
                    <a:prstGeom prst="rect"/>
                  </pic:spPr>
                </pic:pic>
              </a:graphicData>
            </a:graphic>
          </wp:inline>
        </w:drawing>
      </w:r>
    </w:p>
    <w:p>
      <w:pPr>
        <w:spacing w:after="200"/>
        <w:jc w:val="center"/>
      </w:pPr>
      <w:r>
        <w:rPr>
          <w:rFonts w:ascii="Calibri" w:hAnsi="Calibri"/>
          <w:i/>
          <w:color w:val="64748B"/>
          <w:sz w:val="18"/>
        </w:rPr>
        <w:t>Figure 5: Complete 11-Class Generative Food Synthesis Matrix (FoodConditionalGAN Checkpoint).</w:t>
      </w:r>
    </w:p>
    <w:p>
      <w:pPr>
        <w:spacing w:after="100" w:line="276" w:lineRule="auto"/>
      </w:pPr>
      <w:r>
        <w:rPr>
          <w:rFonts w:ascii="Calibri" w:hAnsi="Calibri"/>
          <w:color w:val="334155"/>
          <w:sz w:val="20"/>
        </w:rPr>
        <w:t>Sample reference dishes synthesized across key culinary meal categories: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FFFFFF"/>
          </w:tcPr>
          <w:p>
            <w:pPr>
              <w:jc w:val="center"/>
            </w:pPr>
            <w:r>
              <w:drawing>
                <wp:inline xmlns:a="http://schemas.openxmlformats.org/drawingml/2006/main" xmlns:pic="http://schemas.openxmlformats.org/drawingml/2006/picture">
                  <wp:extent cx="1097280" cy="1097280"/>
                  <wp:docPr id="6" name="Picture 6"/>
                  <wp:cNvGraphicFramePr>
                    <a:graphicFrameLocks noChangeAspect="1"/>
                  </wp:cNvGraphicFramePr>
                  <a:graphic>
                    <a:graphicData uri="http://schemas.openxmlformats.org/drawingml/2006/picture">
                      <pic:pic>
                        <pic:nvPicPr>
                          <pic:cNvPr id="0" name="gan_dish_dessert.png"/>
                          <pic:cNvPicPr/>
                        </pic:nvPicPr>
                        <pic:blipFill>
                          <a:blip r:embed="rId14"/>
                          <a:stretch>
                            <a:fillRect/>
                          </a:stretch>
                        </pic:blipFill>
                        <pic:spPr>
                          <a:xfrm>
                            <a:off x="0" y="0"/>
                            <a:ext cx="1097280" cy="1097280"/>
                          </a:xfrm>
                          <a:prstGeom prst="rect"/>
                        </pic:spPr>
                      </pic:pic>
                    </a:graphicData>
                  </a:graphic>
                </wp:inline>
              </w:drawing>
            </w:r>
          </w:p>
        </w:tc>
        <w:tc>
          <w:tcPr>
            <w:tcW w:type="dxa" w:w="2160"/>
            <w:shd w:val="clear" w:color="auto" w:fill="FFFFFF"/>
          </w:tcPr>
          <w:p>
            <w:pPr>
              <w:jc w:val="center"/>
            </w:pPr>
            <w:r>
              <w:drawing>
                <wp:inline xmlns:a="http://schemas.openxmlformats.org/drawingml/2006/main" xmlns:pic="http://schemas.openxmlformats.org/drawingml/2006/picture">
                  <wp:extent cx="1097280" cy="1097280"/>
                  <wp:docPr id="7" name="Picture 7"/>
                  <wp:cNvGraphicFramePr>
                    <a:graphicFrameLocks noChangeAspect="1"/>
                  </wp:cNvGraphicFramePr>
                  <a:graphic>
                    <a:graphicData uri="http://schemas.openxmlformats.org/drawingml/2006/picture">
                      <pic:pic>
                        <pic:nvPicPr>
                          <pic:cNvPr id="0" name="gan_dish_egg.png"/>
                          <pic:cNvPicPr/>
                        </pic:nvPicPr>
                        <pic:blipFill>
                          <a:blip r:embed="rId15"/>
                          <a:stretch>
                            <a:fillRect/>
                          </a:stretch>
                        </pic:blipFill>
                        <pic:spPr>
                          <a:xfrm>
                            <a:off x="0" y="0"/>
                            <a:ext cx="1097280" cy="1097280"/>
                          </a:xfrm>
                          <a:prstGeom prst="rect"/>
                        </pic:spPr>
                      </pic:pic>
                    </a:graphicData>
                  </a:graphic>
                </wp:inline>
              </w:drawing>
            </w:r>
          </w:p>
        </w:tc>
        <w:tc>
          <w:tcPr>
            <w:tcW w:type="dxa" w:w="2160"/>
            <w:shd w:val="clear" w:color="auto" w:fill="FFFFFF"/>
          </w:tcPr>
          <w:p>
            <w:pPr>
              <w:jc w:val="center"/>
            </w:pPr>
            <w:r>
              <w:drawing>
                <wp:inline xmlns:a="http://schemas.openxmlformats.org/drawingml/2006/main" xmlns:pic="http://schemas.openxmlformats.org/drawingml/2006/picture">
                  <wp:extent cx="1097280" cy="1097280"/>
                  <wp:docPr id="8" name="Picture 8"/>
                  <wp:cNvGraphicFramePr>
                    <a:graphicFrameLocks noChangeAspect="1"/>
                  </wp:cNvGraphicFramePr>
                  <a:graphic>
                    <a:graphicData uri="http://schemas.openxmlformats.org/drawingml/2006/picture">
                      <pic:pic>
                        <pic:nvPicPr>
                          <pic:cNvPr id="0" name="gan_dish_noodles_pasta.png"/>
                          <pic:cNvPicPr/>
                        </pic:nvPicPr>
                        <pic:blipFill>
                          <a:blip r:embed="rId16"/>
                          <a:stretch>
                            <a:fillRect/>
                          </a:stretch>
                        </pic:blipFill>
                        <pic:spPr>
                          <a:xfrm>
                            <a:off x="0" y="0"/>
                            <a:ext cx="1097280" cy="1097280"/>
                          </a:xfrm>
                          <a:prstGeom prst="rect"/>
                        </pic:spPr>
                      </pic:pic>
                    </a:graphicData>
                  </a:graphic>
                </wp:inline>
              </w:drawing>
            </w:r>
          </w:p>
        </w:tc>
        <w:tc>
          <w:tcPr>
            <w:tcW w:type="dxa" w:w="2160"/>
            <w:shd w:val="clear" w:color="auto" w:fill="FFFFFF"/>
          </w:tcPr>
          <w:p>
            <w:pPr>
              <w:jc w:val="center"/>
            </w:pPr>
            <w:r>
              <w:drawing>
                <wp:inline xmlns:a="http://schemas.openxmlformats.org/drawingml/2006/main" xmlns:pic="http://schemas.openxmlformats.org/drawingml/2006/picture">
                  <wp:extent cx="1097280" cy="1097280"/>
                  <wp:docPr id="9" name="Picture 9"/>
                  <wp:cNvGraphicFramePr>
                    <a:graphicFrameLocks noChangeAspect="1"/>
                  </wp:cNvGraphicFramePr>
                  <a:graphic>
                    <a:graphicData uri="http://schemas.openxmlformats.org/drawingml/2006/picture">
                      <pic:pic>
                        <pic:nvPicPr>
                          <pic:cNvPr id="0" name="gan_dish_soup.png"/>
                          <pic:cNvPicPr/>
                        </pic:nvPicPr>
                        <pic:blipFill>
                          <a:blip r:embed="rId17"/>
                          <a:stretch>
                            <a:fillRect/>
                          </a:stretch>
                        </pic:blipFill>
                        <pic:spPr>
                          <a:xfrm>
                            <a:off x="0" y="0"/>
                            <a:ext cx="1097280" cy="1097280"/>
                          </a:xfrm>
                          <a:prstGeom prst="rect"/>
                        </pic:spPr>
                      </pic:pic>
                    </a:graphicData>
                  </a:graphic>
                </wp:inline>
              </w:drawing>
            </w:r>
          </w:p>
        </w:tc>
      </w:tr>
      <w:tr>
        <w:tc>
          <w:tcPr>
            <w:tcW w:type="dxa" w:w="2160"/>
            <w:shd w:val="clear" w:color="auto" w:fill="FDF8F5"/>
          </w:tcPr>
          <w:p>
            <w:pPr>
              <w:jc w:val="center"/>
            </w:pPr>
            <w:r>
              <w:rPr>
                <w:b/>
                <w:color w:val="8B3A0F"/>
                <w:sz w:val="17"/>
              </w:rPr>
              <w:t>Dessert (Class 2)</w:t>
            </w:r>
          </w:p>
        </w:tc>
        <w:tc>
          <w:tcPr>
            <w:tcW w:type="dxa" w:w="2160"/>
            <w:shd w:val="clear" w:color="auto" w:fill="FDF8F5"/>
          </w:tcPr>
          <w:p>
            <w:pPr>
              <w:jc w:val="center"/>
            </w:pPr>
            <w:r>
              <w:rPr>
                <w:b/>
                <w:color w:val="8B3A0F"/>
                <w:sz w:val="17"/>
              </w:rPr>
              <w:t>Egg Dish (Class 3)</w:t>
            </w:r>
          </w:p>
        </w:tc>
        <w:tc>
          <w:tcPr>
            <w:tcW w:type="dxa" w:w="2160"/>
            <w:shd w:val="clear" w:color="auto" w:fill="FDF8F5"/>
          </w:tcPr>
          <w:p>
            <w:pPr>
              <w:jc w:val="center"/>
            </w:pPr>
            <w:r>
              <w:rPr>
                <w:b/>
                <w:color w:val="8B3A0F"/>
                <w:sz w:val="17"/>
              </w:rPr>
              <w:t>Noodles/Pasta (Class 6)</w:t>
            </w:r>
          </w:p>
        </w:tc>
        <w:tc>
          <w:tcPr>
            <w:tcW w:type="dxa" w:w="2160"/>
            <w:shd w:val="clear" w:color="auto" w:fill="FDF8F5"/>
          </w:tcPr>
          <w:p>
            <w:pPr>
              <w:jc w:val="center"/>
            </w:pPr>
            <w:r>
              <w:rPr>
                <w:b/>
                <w:color w:val="8B3A0F"/>
                <w:sz w:val="17"/>
              </w:rPr>
              <w:t>Soup (Class 9)</w:t>
            </w:r>
          </w:p>
        </w:tc>
      </w:tr>
    </w:tbl>
    <w:p>
      <w:pPr>
        <w:spacing w:after="200"/>
      </w:pPr>
    </w:p>
    <w:p>
      <w:pPr>
        <w:keepNext/>
        <w:spacing w:before="320" w:after="120"/>
      </w:pPr>
      <w:r>
        <w:rPr>
          <w:rFonts w:ascii="Calibri" w:hAnsi="Calibri"/>
          <w:b/>
          <w:color w:val="8B3A0F"/>
          <w:sz w:val="28"/>
        </w:rPr>
        <w:t>6. Explainable AI (XAI) for Generative Discriminator</w:t>
      </w:r>
    </w:p>
    <w:p>
      <w:pPr>
        <w:spacing w:after="100" w:line="276" w:lineRule="auto"/>
      </w:pPr>
      <w:r>
        <w:rPr>
          <w:rFonts w:ascii="Calibri" w:hAnsi="Calibri"/>
          <w:color w:val="334155"/>
          <w:sz w:val="20"/>
        </w:rPr>
        <w:t>Figure 6 presents Grad-CAM heatmaps on the discriminator's fourth convolutional layer, confirming feature attribution concentrates on diagnostic culinary masses rather than plate rims:</w:t>
      </w:r>
    </w:p>
    <w:p>
      <w:pPr>
        <w:spacing w:before="120" w:after="40"/>
        <w:jc w:val="center"/>
      </w:pPr>
      <w:r>
        <w:drawing>
          <wp:inline xmlns:a="http://schemas.openxmlformats.org/drawingml/2006/main" xmlns:pic="http://schemas.openxmlformats.org/drawingml/2006/picture">
            <wp:extent cx="5486400" cy="5685636"/>
            <wp:docPr id="10" name="Picture 10"/>
            <wp:cNvGraphicFramePr>
              <a:graphicFrameLocks noChangeAspect="1"/>
            </wp:cNvGraphicFramePr>
            <a:graphic>
              <a:graphicData uri="http://schemas.openxmlformats.org/drawingml/2006/picture">
                <pic:pic>
                  <pic:nvPicPr>
                    <pic:cNvPr id="0" name="xai_gradcam_panel.png"/>
                    <pic:cNvPicPr/>
                  </pic:nvPicPr>
                  <pic:blipFill>
                    <a:blip r:embed="rId18"/>
                    <a:stretch>
                      <a:fillRect/>
                    </a:stretch>
                  </pic:blipFill>
                  <pic:spPr>
                    <a:xfrm>
                      <a:off x="0" y="0"/>
                      <a:ext cx="5486400" cy="5685636"/>
                    </a:xfrm>
                    <a:prstGeom prst="rect"/>
                  </pic:spPr>
                </pic:pic>
              </a:graphicData>
            </a:graphic>
          </wp:inline>
        </w:drawing>
      </w:r>
    </w:p>
    <w:p>
      <w:pPr>
        <w:spacing w:after="200"/>
        <w:jc w:val="center"/>
      </w:pPr>
      <w:r>
        <w:rPr>
          <w:rFonts w:ascii="Calibri" w:hAnsi="Calibri"/>
          <w:i/>
          <w:color w:val="64748B"/>
          <w:sz w:val="18"/>
        </w:rPr>
        <w:t>Figure 6: Explainable AI (XAI) Grad-CAM Heatmap Overlays and Saliency Contours across Representative Culinary Classes.</w:t>
      </w:r>
    </w:p>
    <w:p>
      <w:pPr>
        <w:spacing w:before="120" w:after="40"/>
        <w:jc w:val="center"/>
      </w:pPr>
      <w:r>
        <w:drawing>
          <wp:inline xmlns:a="http://schemas.openxmlformats.org/drawingml/2006/main" xmlns:pic="http://schemas.openxmlformats.org/drawingml/2006/picture">
            <wp:extent cx="5486400" cy="2419487"/>
            <wp:docPr id="11" name="Picture 11"/>
            <wp:cNvGraphicFramePr>
              <a:graphicFrameLocks noChangeAspect="1"/>
            </wp:cNvGraphicFramePr>
            <a:graphic>
              <a:graphicData uri="http://schemas.openxmlformats.org/drawingml/2006/picture">
                <pic:pic>
                  <pic:nvPicPr>
                    <pic:cNvPr id="0" name="xai_latent_interpolation.png"/>
                    <pic:cNvPicPr/>
                  </pic:nvPicPr>
                  <pic:blipFill>
                    <a:blip r:embed="rId19"/>
                    <a:stretch>
                      <a:fillRect/>
                    </a:stretch>
                  </pic:blipFill>
                  <pic:spPr>
                    <a:xfrm>
                      <a:off x="0" y="0"/>
                      <a:ext cx="5486400" cy="2419487"/>
                    </a:xfrm>
                    <a:prstGeom prst="rect"/>
                  </pic:spPr>
                </pic:pic>
              </a:graphicData>
            </a:graphic>
          </wp:inline>
        </w:drawing>
      </w:r>
    </w:p>
    <w:p>
      <w:pPr>
        <w:spacing w:after="200"/>
        <w:jc w:val="center"/>
      </w:pPr>
      <w:r>
        <w:rPr>
          <w:rFonts w:ascii="Calibri" w:hAnsi="Calibri"/>
          <w:i/>
          <w:color w:val="64748B"/>
          <w:sz w:val="18"/>
        </w:rPr>
        <w:t>Figure 7: Continuous Latent Manifold Traversal (SLERP) Demonstrating Smooth Semantic Interpolation Across Classes.</w:t>
      </w:r>
    </w:p>
    <w:p>
      <w:pPr>
        <w:keepNext/>
        <w:spacing w:before="320" w:after="120"/>
      </w:pPr>
      <w:r>
        <w:rPr>
          <w:rFonts w:ascii="Calibri" w:hAnsi="Calibri"/>
          <w:b/>
          <w:color w:val="8B3A0F"/>
          <w:sz w:val="28"/>
        </w:rPr>
        <w:t>7. Noise Component &amp; Adversarial Robustness Analysis</w:t>
      </w:r>
    </w:p>
    <w:p>
      <w:pPr>
        <w:spacing w:before="120" w:after="40"/>
        <w:jc w:val="center"/>
      </w:pPr>
      <w:r>
        <w:drawing>
          <wp:inline xmlns:a="http://schemas.openxmlformats.org/drawingml/2006/main" xmlns:pic="http://schemas.openxmlformats.org/drawingml/2006/picture">
            <wp:extent cx="5486400" cy="2408217"/>
            <wp:docPr id="12" name="Picture 12"/>
            <wp:cNvGraphicFramePr>
              <a:graphicFrameLocks noChangeAspect="1"/>
            </wp:cNvGraphicFramePr>
            <a:graphic>
              <a:graphicData uri="http://schemas.openxmlformats.org/drawingml/2006/picture">
                <pic:pic>
                  <pic:nvPicPr>
                    <pic:cNvPr id="0" name="fig7_noise_robustness_analysis.png"/>
                    <pic:cNvPicPr/>
                  </pic:nvPicPr>
                  <pic:blipFill>
                    <a:blip r:embed="rId20"/>
                    <a:stretch>
                      <a:fillRect/>
                    </a:stretch>
                  </pic:blipFill>
                  <pic:spPr>
                    <a:xfrm>
                      <a:off x="0" y="0"/>
                      <a:ext cx="5486400" cy="2408217"/>
                    </a:xfrm>
                    <a:prstGeom prst="rect"/>
                  </pic:spPr>
                </pic:pic>
              </a:graphicData>
            </a:graphic>
          </wp:inline>
        </w:drawing>
      </w:r>
    </w:p>
    <w:p>
      <w:pPr>
        <w:spacing w:after="200"/>
        <w:jc w:val="center"/>
      </w:pPr>
      <w:r>
        <w:rPr>
          <w:rFonts w:ascii="Calibri" w:hAnsi="Calibri"/>
          <w:i/>
          <w:color w:val="64748B"/>
          <w:sz w:val="18"/>
        </w:rPr>
        <w:t>Figure 8: Noise Component Sensitivity Analysis: Generative FID Score Degradation under Latent Noise Perturbations.</w:t>
      </w:r>
    </w:p>
    <w:p>
      <w:pPr>
        <w:keepNext/>
        <w:spacing w:before="320" w:after="120"/>
      </w:pPr>
      <w:r>
        <w:rPr>
          <w:rFonts w:ascii="Calibri" w:hAnsi="Calibri"/>
          <w:b/>
          <w:color w:val="8B3A0F"/>
          <w:sz w:val="28"/>
        </w:rPr>
        <w:t>8. Systematic Component Ablation Study (M0 through M4)</w:t>
      </w:r>
    </w:p>
    <w:p>
      <w:pPr>
        <w:spacing w:before="120" w:after="40"/>
        <w:jc w:val="center"/>
      </w:pPr>
      <w:r>
        <w:drawing>
          <wp:inline xmlns:a="http://schemas.openxmlformats.org/drawingml/2006/main" xmlns:pic="http://schemas.openxmlformats.org/drawingml/2006/picture">
            <wp:extent cx="5486400" cy="2713931"/>
            <wp:docPr id="13" name="Picture 13"/>
            <wp:cNvGraphicFramePr>
              <a:graphicFrameLocks noChangeAspect="1"/>
            </wp:cNvGraphicFramePr>
            <a:graphic>
              <a:graphicData uri="http://schemas.openxmlformats.org/drawingml/2006/picture">
                <pic:pic>
                  <pic:nvPicPr>
                    <pic:cNvPr id="0" name="ablation_metrics_barchart.png"/>
                    <pic:cNvPicPr/>
                  </pic:nvPicPr>
                  <pic:blipFill>
                    <a:blip r:embed="rId21"/>
                    <a:stretch>
                      <a:fillRect/>
                    </a:stretch>
                  </pic:blipFill>
                  <pic:spPr>
                    <a:xfrm>
                      <a:off x="0" y="0"/>
                      <a:ext cx="5486400" cy="2713931"/>
                    </a:xfrm>
                    <a:prstGeom prst="rect"/>
                  </pic:spPr>
                </pic:pic>
              </a:graphicData>
            </a:graphic>
          </wp:inline>
        </w:drawing>
      </w:r>
    </w:p>
    <w:p>
      <w:pPr>
        <w:spacing w:after="200"/>
        <w:jc w:val="center"/>
      </w:pPr>
      <w:r>
        <w:rPr>
          <w:rFonts w:ascii="Calibri" w:hAnsi="Calibri"/>
          <w:i/>
          <w:color w:val="64748B"/>
          <w:sz w:val="18"/>
        </w:rPr>
        <w:t>Figure 9: Quantitative Evaluation Metrics (FID, Inception Score, and Auxiliary Accuracy) across the 5 Ablation Models.</w:t>
      </w:r>
    </w:p>
    <w:p>
      <w:pPr>
        <w:keepNext/>
        <w:spacing w:before="320" w:after="120"/>
      </w:pPr>
      <w:r>
        <w:rPr>
          <w:rFonts w:ascii="Calibri" w:hAnsi="Calibri"/>
          <w:b/>
          <w:color w:val="8B3A0F"/>
          <w:sz w:val="28"/>
        </w:rPr>
        <w:t>9. ISO/IEC/IEEE 29119 Software Quality Assurance &amp; Verification (10 Marks Component)</w:t>
      </w:r>
    </w:p>
    <w:p>
      <w:pPr>
        <w:spacing w:after="100" w:line="276" w:lineRule="auto"/>
      </w:pPr>
      <w:r>
        <w:rPr>
          <w:rFonts w:ascii="Calibri" w:hAnsi="Calibri"/>
          <w:color w:val="334155"/>
          <w:sz w:val="20"/>
        </w:rPr>
        <w:t>The model and its serving endpoints were evaluated against an automated 18-test verification suite (tests/test_food_gan_black_white_box.py), achieving a 100% pass rate: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8B3A0F"/>
            <w:tcMar>
              <w:top w:w="110" w:type="dxa"/>
              <w:bottom w:w="110" w:type="dxa"/>
              <w:left w:w="130" w:type="dxa"/>
              <w:right w:w="130" w:type="dxa"/>
            </w:tcMar>
          </w:tcPr>
          <w:p>
            <w:pPr>
              <w:jc w:val="left"/>
            </w:pPr>
            <w:r>
              <w:rPr>
                <w:rFonts w:ascii="Calibri" w:hAnsi="Calibri"/>
                <w:b/>
                <w:color w:val="FFFFFF"/>
                <w:sz w:val="19"/>
              </w:rPr>
              <w:t>Test ID</w:t>
            </w:r>
          </w:p>
        </w:tc>
        <w:tc>
          <w:tcPr>
            <w:tcW w:type="dxa" w:w="1296"/>
            <w:shd w:val="clear" w:color="auto" w:fill="8B3A0F"/>
            <w:tcMar>
              <w:top w:w="110" w:type="dxa"/>
              <w:bottom w:w="110" w:type="dxa"/>
              <w:left w:w="130" w:type="dxa"/>
              <w:right w:w="130" w:type="dxa"/>
            </w:tcMar>
          </w:tcPr>
          <w:p>
            <w:pPr>
              <w:jc w:val="left"/>
            </w:pPr>
            <w:r>
              <w:rPr>
                <w:rFonts w:ascii="Calibri" w:hAnsi="Calibri"/>
                <w:b/>
                <w:color w:val="FFFFFF"/>
                <w:sz w:val="19"/>
              </w:rPr>
              <w:t>Test Category</w:t>
            </w:r>
          </w:p>
        </w:tc>
        <w:tc>
          <w:tcPr>
            <w:tcW w:type="dxa" w:w="2592"/>
            <w:shd w:val="clear" w:color="auto" w:fill="8B3A0F"/>
            <w:tcMar>
              <w:top w:w="110" w:type="dxa"/>
              <w:bottom w:w="110" w:type="dxa"/>
              <w:left w:w="130" w:type="dxa"/>
              <w:right w:w="130" w:type="dxa"/>
            </w:tcMar>
          </w:tcPr>
          <w:p>
            <w:pPr>
              <w:jc w:val="left"/>
            </w:pPr>
            <w:r>
              <w:rPr>
                <w:rFonts w:ascii="Calibri" w:hAnsi="Calibri"/>
                <w:b/>
                <w:color w:val="FFFFFF"/>
                <w:sz w:val="19"/>
              </w:rPr>
              <w:t>Specification &amp; Objective</w:t>
            </w:r>
          </w:p>
        </w:tc>
        <w:tc>
          <w:tcPr>
            <w:tcW w:type="dxa" w:w="2160"/>
            <w:shd w:val="clear" w:color="auto" w:fill="8B3A0F"/>
            <w:tcMar>
              <w:top w:w="110" w:type="dxa"/>
              <w:bottom w:w="110" w:type="dxa"/>
              <w:left w:w="130" w:type="dxa"/>
              <w:right w:w="130" w:type="dxa"/>
            </w:tcMar>
          </w:tcPr>
          <w:p>
            <w:pPr>
              <w:jc w:val="left"/>
            </w:pPr>
            <w:r>
              <w:rPr>
                <w:rFonts w:ascii="Calibri" w:hAnsi="Calibri"/>
                <w:b/>
                <w:color w:val="FFFFFF"/>
                <w:sz w:val="19"/>
              </w:rPr>
              <w:t>Assertions / Criteria</w:t>
            </w:r>
          </w:p>
        </w:tc>
        <w:tc>
          <w:tcPr>
            <w:tcW w:type="dxa" w:w="1008"/>
            <w:shd w:val="clear" w:color="auto" w:fill="8B3A0F"/>
            <w:tcMar>
              <w:top w:w="110" w:type="dxa"/>
              <w:bottom w:w="110" w:type="dxa"/>
              <w:left w:w="130" w:type="dxa"/>
              <w:right w:w="130" w:type="dxa"/>
            </w:tcMar>
          </w:tcPr>
          <w:p>
            <w:pPr>
              <w:jc w:val="left"/>
            </w:pPr>
            <w:r>
              <w:rPr>
                <w:rFonts w:ascii="Calibri" w:hAnsi="Calibri"/>
                <w:b/>
                <w:color w:val="FFFFFF"/>
                <w:sz w:val="19"/>
              </w:rPr>
              <w:t>Execution Time</w:t>
            </w:r>
          </w:p>
        </w:tc>
        <w:tc>
          <w:tcPr>
            <w:tcW w:type="dxa" w:w="864"/>
            <w:shd w:val="clear" w:color="auto" w:fill="8B3A0F"/>
            <w:tcMar>
              <w:top w:w="110" w:type="dxa"/>
              <w:bottom w:w="110" w:type="dxa"/>
              <w:left w:w="130" w:type="dxa"/>
              <w:right w:w="130" w:type="dxa"/>
            </w:tcMar>
          </w:tcPr>
          <w:p>
            <w:pPr>
              <w:jc w:val="left"/>
            </w:pPr>
            <w:r>
              <w:rPr>
                <w:rFonts w:ascii="Calibri" w:hAnsi="Calibri"/>
                <w:b/>
                <w:color w:val="FFFFFF"/>
                <w:sz w:val="19"/>
              </w:rPr>
              <w:t>Result</w:t>
            </w:r>
          </w:p>
        </w:tc>
      </w:tr>
      <w:tr>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WB-01</w:t>
            </w:r>
          </w:p>
        </w:tc>
        <w:tc>
          <w:tcPr>
            <w:tcW w:type="dxa" w:w="1296"/>
            <w:shd w:val="clear" w:color="auto" w:fill="FFFFFF"/>
            <w:tcMar>
              <w:top w:w="75" w:type="dxa"/>
              <w:bottom w:w="75" w:type="dxa"/>
              <w:left w:w="130" w:type="dxa"/>
              <w:right w:w="130" w:type="dxa"/>
            </w:tcMar>
          </w:tcPr>
          <w:p>
            <w:pPr>
              <w:jc w:val="left"/>
            </w:pPr>
            <w:r>
              <w:rPr>
                <w:rFonts w:ascii="Calibri" w:hAnsi="Calibri"/>
                <w:color w:val="1E293B"/>
                <w:sz w:val="18"/>
              </w:rPr>
              <w:t>White-Box</w:t>
            </w:r>
          </w:p>
        </w:tc>
        <w:tc>
          <w:tcPr>
            <w:tcW w:type="dxa" w:w="2592"/>
            <w:shd w:val="clear" w:color="auto" w:fill="FFFFFF"/>
            <w:tcMar>
              <w:top w:w="75" w:type="dxa"/>
              <w:bottom w:w="75" w:type="dxa"/>
              <w:left w:w="130" w:type="dxa"/>
              <w:right w:w="130" w:type="dxa"/>
            </w:tcMar>
          </w:tcPr>
          <w:p>
            <w:pPr>
              <w:jc w:val="left"/>
            </w:pPr>
            <w:r>
              <w:rPr>
                <w:rFonts w:ascii="Calibri" w:hAnsi="Calibri"/>
                <w:color w:val="1E293B"/>
                <w:sz w:val="18"/>
              </w:rPr>
              <w:t>Generator Output Tensor Shape Invariance</w:t>
            </w:r>
          </w:p>
        </w:tc>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(z in R^{B x 100}, c) -&gt; [B, 3, 64, 64]</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0.041s</w:t>
            </w:r>
          </w:p>
        </w:tc>
        <w:tc>
          <w:tcPr>
            <w:tcW w:type="dxa" w:w="864"/>
            <w:shd w:val="clear" w:color="auto" w:fill="FFFFFF"/>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WB-02</w:t>
            </w:r>
          </w:p>
        </w:tc>
        <w:tc>
          <w:tcPr>
            <w:tcW w:type="dxa" w:w="1296"/>
            <w:shd w:val="clear" w:color="auto" w:fill="FDF8F5"/>
            <w:tcMar>
              <w:top w:w="75" w:type="dxa"/>
              <w:bottom w:w="75" w:type="dxa"/>
              <w:left w:w="130" w:type="dxa"/>
              <w:right w:w="130" w:type="dxa"/>
            </w:tcMar>
          </w:tcPr>
          <w:p>
            <w:pPr>
              <w:jc w:val="left"/>
            </w:pPr>
            <w:r>
              <w:rPr>
                <w:rFonts w:ascii="Calibri" w:hAnsi="Calibri"/>
                <w:color w:val="1E293B"/>
                <w:sz w:val="18"/>
              </w:rPr>
              <w:t>White-Box</w:t>
            </w:r>
          </w:p>
        </w:tc>
        <w:tc>
          <w:tcPr>
            <w:tcW w:type="dxa" w:w="2592"/>
            <w:shd w:val="clear" w:color="auto" w:fill="FDF8F5"/>
            <w:tcMar>
              <w:top w:w="75" w:type="dxa"/>
              <w:bottom w:w="75" w:type="dxa"/>
              <w:left w:w="130" w:type="dxa"/>
              <w:right w:w="130" w:type="dxa"/>
            </w:tcMar>
          </w:tcPr>
          <w:p>
            <w:pPr>
              <w:jc w:val="left"/>
            </w:pPr>
            <w:r>
              <w:rPr>
                <w:rFonts w:ascii="Calibri" w:hAnsi="Calibri"/>
                <w:color w:val="1E293B"/>
                <w:sz w:val="18"/>
              </w:rPr>
              <w:t>Tanh Output Boundedness Strictness</w:t>
            </w:r>
          </w:p>
        </w:tc>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All pixels in [-1.0, 1.0]</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0.038s</w:t>
            </w:r>
          </w:p>
        </w:tc>
        <w:tc>
          <w:tcPr>
            <w:tcW w:type="dxa" w:w="864"/>
            <w:shd w:val="clear" w:color="auto" w:fill="FDF8F5"/>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WB-03</w:t>
            </w:r>
          </w:p>
        </w:tc>
        <w:tc>
          <w:tcPr>
            <w:tcW w:type="dxa" w:w="1296"/>
            <w:shd w:val="clear" w:color="auto" w:fill="FFFFFF"/>
            <w:tcMar>
              <w:top w:w="75" w:type="dxa"/>
              <w:bottom w:w="75" w:type="dxa"/>
              <w:left w:w="130" w:type="dxa"/>
              <w:right w:w="130" w:type="dxa"/>
            </w:tcMar>
          </w:tcPr>
          <w:p>
            <w:pPr>
              <w:jc w:val="left"/>
            </w:pPr>
            <w:r>
              <w:rPr>
                <w:rFonts w:ascii="Calibri" w:hAnsi="Calibri"/>
                <w:color w:val="1E293B"/>
                <w:sz w:val="18"/>
              </w:rPr>
              <w:t>White-Box</w:t>
            </w:r>
          </w:p>
        </w:tc>
        <w:tc>
          <w:tcPr>
            <w:tcW w:type="dxa" w:w="2592"/>
            <w:shd w:val="clear" w:color="auto" w:fill="FFFFFF"/>
            <w:tcMar>
              <w:top w:w="75" w:type="dxa"/>
              <w:bottom w:w="75" w:type="dxa"/>
              <w:left w:w="130" w:type="dxa"/>
              <w:right w:w="130" w:type="dxa"/>
            </w:tcMar>
          </w:tcPr>
          <w:p>
            <w:pPr>
              <w:jc w:val="left"/>
            </w:pPr>
            <w:r>
              <w:rPr>
                <w:rFonts w:ascii="Calibri" w:hAnsi="Calibri"/>
                <w:color w:val="1E293B"/>
                <w:sz w:val="18"/>
              </w:rPr>
              <w:t>Discriminator Dual-Head Output Topology</w:t>
            </w:r>
          </w:p>
        </w:tc>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Validity [B, 1], Logits [B, 11]</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0.036s</w:t>
            </w:r>
          </w:p>
        </w:tc>
        <w:tc>
          <w:tcPr>
            <w:tcW w:type="dxa" w:w="864"/>
            <w:shd w:val="clear" w:color="auto" w:fill="FFFFFF"/>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WB-04</w:t>
            </w:r>
          </w:p>
        </w:tc>
        <w:tc>
          <w:tcPr>
            <w:tcW w:type="dxa" w:w="1296"/>
            <w:shd w:val="clear" w:color="auto" w:fill="FDF8F5"/>
            <w:tcMar>
              <w:top w:w="75" w:type="dxa"/>
              <w:bottom w:w="75" w:type="dxa"/>
              <w:left w:w="130" w:type="dxa"/>
              <w:right w:w="130" w:type="dxa"/>
            </w:tcMar>
          </w:tcPr>
          <w:p>
            <w:pPr>
              <w:jc w:val="left"/>
            </w:pPr>
            <w:r>
              <w:rPr>
                <w:rFonts w:ascii="Calibri" w:hAnsi="Calibri"/>
                <w:color w:val="1E293B"/>
                <w:sz w:val="18"/>
              </w:rPr>
              <w:t>White-Box</w:t>
            </w:r>
          </w:p>
        </w:tc>
        <w:tc>
          <w:tcPr>
            <w:tcW w:type="dxa" w:w="2592"/>
            <w:shd w:val="clear" w:color="auto" w:fill="FDF8F5"/>
            <w:tcMar>
              <w:top w:w="75" w:type="dxa"/>
              <w:bottom w:w="75" w:type="dxa"/>
              <w:left w:w="130" w:type="dxa"/>
              <w:right w:w="130" w:type="dxa"/>
            </w:tcMar>
          </w:tcPr>
          <w:p>
            <w:pPr>
              <w:jc w:val="left"/>
            </w:pPr>
            <w:r>
              <w:rPr>
                <w:rFonts w:ascii="Calibri" w:hAnsi="Calibri"/>
                <w:color w:val="1E293B"/>
                <w:sz w:val="18"/>
              </w:rPr>
              <w:t>Adversarial Validity Range Range</w:t>
            </w:r>
          </w:p>
        </w:tc>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Validity in [0.0, 1.0] via Sigmoid</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0.035s</w:t>
            </w:r>
          </w:p>
        </w:tc>
        <w:tc>
          <w:tcPr>
            <w:tcW w:type="dxa" w:w="864"/>
            <w:shd w:val="clear" w:color="auto" w:fill="FDF8F5"/>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WB-05</w:t>
            </w:r>
          </w:p>
        </w:tc>
        <w:tc>
          <w:tcPr>
            <w:tcW w:type="dxa" w:w="1296"/>
            <w:shd w:val="clear" w:color="auto" w:fill="FFFFFF"/>
            <w:tcMar>
              <w:top w:w="75" w:type="dxa"/>
              <w:bottom w:w="75" w:type="dxa"/>
              <w:left w:w="130" w:type="dxa"/>
              <w:right w:w="130" w:type="dxa"/>
            </w:tcMar>
          </w:tcPr>
          <w:p>
            <w:pPr>
              <w:jc w:val="left"/>
            </w:pPr>
            <w:r>
              <w:rPr>
                <w:rFonts w:ascii="Calibri" w:hAnsi="Calibri"/>
                <w:color w:val="1E293B"/>
                <w:sz w:val="18"/>
              </w:rPr>
              <w:t>White-Box</w:t>
            </w:r>
          </w:p>
        </w:tc>
        <w:tc>
          <w:tcPr>
            <w:tcW w:type="dxa" w:w="2592"/>
            <w:shd w:val="clear" w:color="auto" w:fill="FFFFFF"/>
            <w:tcMar>
              <w:top w:w="75" w:type="dxa"/>
              <w:bottom w:w="75" w:type="dxa"/>
              <w:left w:w="130" w:type="dxa"/>
              <w:right w:w="130" w:type="dxa"/>
            </w:tcMar>
          </w:tcPr>
          <w:p>
            <w:pPr>
              <w:jc w:val="left"/>
            </w:pPr>
            <w:r>
              <w:rPr>
                <w:rFonts w:ascii="Calibri" w:hAnsi="Calibri"/>
                <w:color w:val="1E293B"/>
                <w:sz w:val="18"/>
              </w:rPr>
              <w:t>Generator Non-Vanishing Gradient Flow</w:t>
            </w:r>
          </w:p>
        </w:tc>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Non-zero gradients on all conv layers</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0.052s</w:t>
            </w:r>
          </w:p>
        </w:tc>
        <w:tc>
          <w:tcPr>
            <w:tcW w:type="dxa" w:w="864"/>
            <w:shd w:val="clear" w:color="auto" w:fill="FFFFFF"/>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WB-06</w:t>
            </w:r>
          </w:p>
        </w:tc>
        <w:tc>
          <w:tcPr>
            <w:tcW w:type="dxa" w:w="1296"/>
            <w:shd w:val="clear" w:color="auto" w:fill="FDF8F5"/>
            <w:tcMar>
              <w:top w:w="75" w:type="dxa"/>
              <w:bottom w:w="75" w:type="dxa"/>
              <w:left w:w="130" w:type="dxa"/>
              <w:right w:w="130" w:type="dxa"/>
            </w:tcMar>
          </w:tcPr>
          <w:p>
            <w:pPr>
              <w:jc w:val="left"/>
            </w:pPr>
            <w:r>
              <w:rPr>
                <w:rFonts w:ascii="Calibri" w:hAnsi="Calibri"/>
                <w:color w:val="1E293B"/>
                <w:sz w:val="18"/>
              </w:rPr>
              <w:t>White-Box</w:t>
            </w:r>
          </w:p>
        </w:tc>
        <w:tc>
          <w:tcPr>
            <w:tcW w:type="dxa" w:w="2592"/>
            <w:shd w:val="clear" w:color="auto" w:fill="FDF8F5"/>
            <w:tcMar>
              <w:top w:w="75" w:type="dxa"/>
              <w:bottom w:w="75" w:type="dxa"/>
              <w:left w:w="130" w:type="dxa"/>
              <w:right w:w="130" w:type="dxa"/>
            </w:tcMar>
          </w:tcPr>
          <w:p>
            <w:pPr>
              <w:jc w:val="left"/>
            </w:pPr>
            <w:r>
              <w:rPr>
                <w:rFonts w:ascii="Calibri" w:hAnsi="Calibri"/>
                <w:color w:val="1E293B"/>
                <w:sz w:val="18"/>
              </w:rPr>
              <w:t>Discriminator Dual-Head Gradient Flow</w:t>
            </w:r>
          </w:p>
        </w:tc>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Dual heads propagate to shared trunk</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0.058s</w:t>
            </w:r>
          </w:p>
        </w:tc>
        <w:tc>
          <w:tcPr>
            <w:tcW w:type="dxa" w:w="864"/>
            <w:shd w:val="clear" w:color="auto" w:fill="FDF8F5"/>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WB-07</w:t>
            </w:r>
          </w:p>
        </w:tc>
        <w:tc>
          <w:tcPr>
            <w:tcW w:type="dxa" w:w="1296"/>
            <w:shd w:val="clear" w:color="auto" w:fill="FFFFFF"/>
            <w:tcMar>
              <w:top w:w="75" w:type="dxa"/>
              <w:bottom w:w="75" w:type="dxa"/>
              <w:left w:w="130" w:type="dxa"/>
              <w:right w:w="130" w:type="dxa"/>
            </w:tcMar>
          </w:tcPr>
          <w:p>
            <w:pPr>
              <w:jc w:val="left"/>
            </w:pPr>
            <w:r>
              <w:rPr>
                <w:rFonts w:ascii="Calibri" w:hAnsi="Calibri"/>
                <w:color w:val="1E293B"/>
                <w:sz w:val="18"/>
              </w:rPr>
              <w:t>White-Box</w:t>
            </w:r>
          </w:p>
        </w:tc>
        <w:tc>
          <w:tcPr>
            <w:tcW w:type="dxa" w:w="2592"/>
            <w:shd w:val="clear" w:color="auto" w:fill="FFFFFF"/>
            <w:tcMar>
              <w:top w:w="75" w:type="dxa"/>
              <w:bottom w:w="75" w:type="dxa"/>
              <w:left w:w="130" w:type="dxa"/>
              <w:right w:w="130" w:type="dxa"/>
            </w:tcMar>
          </w:tcPr>
          <w:p>
            <w:pPr>
              <w:jc w:val="left"/>
            </w:pPr>
            <w:r>
              <w:rPr>
                <w:rFonts w:ascii="Calibri" w:hAnsi="Calibri"/>
                <w:color w:val="1E293B"/>
                <w:sz w:val="18"/>
              </w:rPr>
              <w:t>Category Embedding Orthogonality</w:t>
            </w:r>
          </w:p>
        </w:tc>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Pairwise Euclidean distance &gt; 0.01</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0.012s</w:t>
            </w:r>
          </w:p>
        </w:tc>
        <w:tc>
          <w:tcPr>
            <w:tcW w:type="dxa" w:w="864"/>
            <w:shd w:val="clear" w:color="auto" w:fill="FFFFFF"/>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WB-08</w:t>
            </w:r>
          </w:p>
        </w:tc>
        <w:tc>
          <w:tcPr>
            <w:tcW w:type="dxa" w:w="1296"/>
            <w:shd w:val="clear" w:color="auto" w:fill="FDF8F5"/>
            <w:tcMar>
              <w:top w:w="75" w:type="dxa"/>
              <w:bottom w:w="75" w:type="dxa"/>
              <w:left w:w="130" w:type="dxa"/>
              <w:right w:w="130" w:type="dxa"/>
            </w:tcMar>
          </w:tcPr>
          <w:p>
            <w:pPr>
              <w:jc w:val="left"/>
            </w:pPr>
            <w:r>
              <w:rPr>
                <w:rFonts w:ascii="Calibri" w:hAnsi="Calibri"/>
                <w:color w:val="1E293B"/>
                <w:sz w:val="18"/>
              </w:rPr>
              <w:t>White-Box</w:t>
            </w:r>
          </w:p>
        </w:tc>
        <w:tc>
          <w:tcPr>
            <w:tcW w:type="dxa" w:w="2592"/>
            <w:shd w:val="clear" w:color="auto" w:fill="FDF8F5"/>
            <w:tcMar>
              <w:top w:w="75" w:type="dxa"/>
              <w:bottom w:w="75" w:type="dxa"/>
              <w:left w:w="130" w:type="dxa"/>
              <w:right w:w="130" w:type="dxa"/>
            </w:tcMar>
          </w:tcPr>
          <w:p>
            <w:pPr>
              <w:jc w:val="left"/>
            </w:pPr>
            <w:r>
              <w:rPr>
                <w:rFonts w:ascii="Calibri" w:hAnsi="Calibri"/>
                <w:color w:val="1E293B"/>
                <w:sz w:val="18"/>
              </w:rPr>
              <w:t>Deterministic Seed Invariance</w:t>
            </w:r>
          </w:p>
        </w:tc>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Identical seed yields L_inf error = 0.0</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0.045s</w:t>
            </w:r>
          </w:p>
        </w:tc>
        <w:tc>
          <w:tcPr>
            <w:tcW w:type="dxa" w:w="864"/>
            <w:shd w:val="clear" w:color="auto" w:fill="FDF8F5"/>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WB-09</w:t>
            </w:r>
          </w:p>
        </w:tc>
        <w:tc>
          <w:tcPr>
            <w:tcW w:type="dxa" w:w="1296"/>
            <w:shd w:val="clear" w:color="auto" w:fill="FFFFFF"/>
            <w:tcMar>
              <w:top w:w="75" w:type="dxa"/>
              <w:bottom w:w="75" w:type="dxa"/>
              <w:left w:w="130" w:type="dxa"/>
              <w:right w:w="130" w:type="dxa"/>
            </w:tcMar>
          </w:tcPr>
          <w:p>
            <w:pPr>
              <w:jc w:val="left"/>
            </w:pPr>
            <w:r>
              <w:rPr>
                <w:rFonts w:ascii="Calibri" w:hAnsi="Calibri"/>
                <w:color w:val="1E293B"/>
                <w:sz w:val="18"/>
              </w:rPr>
              <w:t>White-Box</w:t>
            </w:r>
          </w:p>
        </w:tc>
        <w:tc>
          <w:tcPr>
            <w:tcW w:type="dxa" w:w="2592"/>
            <w:shd w:val="clear" w:color="auto" w:fill="FFFFFF"/>
            <w:tcMar>
              <w:top w:w="75" w:type="dxa"/>
              <w:bottom w:w="75" w:type="dxa"/>
              <w:left w:w="130" w:type="dxa"/>
              <w:right w:w="130" w:type="dxa"/>
            </w:tcMar>
          </w:tcPr>
          <w:p>
            <w:pPr>
              <w:jc w:val="left"/>
            </w:pPr>
            <w:r>
              <w:rPr>
                <w:rFonts w:ascii="Calibri" w:hAnsi="Calibri"/>
                <w:color w:val="1E293B"/>
                <w:sz w:val="18"/>
              </w:rPr>
              <w:t>Latent Space Pairwise Diversity</w:t>
            </w:r>
          </w:p>
        </w:tc>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Distinct seeds yield L1 distance &gt; 0.05</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0.044s</w:t>
            </w:r>
          </w:p>
        </w:tc>
        <w:tc>
          <w:tcPr>
            <w:tcW w:type="dxa" w:w="864"/>
            <w:shd w:val="clear" w:color="auto" w:fill="FFFFFF"/>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BB-01</w:t>
            </w:r>
          </w:p>
        </w:tc>
        <w:tc>
          <w:tcPr>
            <w:tcW w:type="dxa" w:w="1296"/>
            <w:shd w:val="clear" w:color="auto" w:fill="FDF8F5"/>
            <w:tcMar>
              <w:top w:w="75" w:type="dxa"/>
              <w:bottom w:w="75" w:type="dxa"/>
              <w:left w:w="130" w:type="dxa"/>
              <w:right w:w="130" w:type="dxa"/>
            </w:tcMar>
          </w:tcPr>
          <w:p>
            <w:pPr>
              <w:jc w:val="left"/>
            </w:pPr>
            <w:r>
              <w:rPr>
                <w:rFonts w:ascii="Calibri" w:hAnsi="Calibri"/>
                <w:color w:val="1E293B"/>
                <w:sz w:val="18"/>
              </w:rPr>
              <w:t>Black-Box</w:t>
            </w:r>
          </w:p>
        </w:tc>
        <w:tc>
          <w:tcPr>
            <w:tcW w:type="dxa" w:w="2592"/>
            <w:shd w:val="clear" w:color="auto" w:fill="FDF8F5"/>
            <w:tcMar>
              <w:top w:w="75" w:type="dxa"/>
              <w:bottom w:w="75" w:type="dxa"/>
              <w:left w:w="130" w:type="dxa"/>
              <w:right w:w="130" w:type="dxa"/>
            </w:tcMar>
          </w:tcPr>
          <w:p>
            <w:pPr>
              <w:jc w:val="left"/>
            </w:pPr>
            <w:r>
              <w:rPr>
                <w:rFonts w:ascii="Calibri" w:hAnsi="Calibri"/>
                <w:color w:val="1E293B"/>
                <w:sz w:val="18"/>
              </w:rPr>
              <w:t>GET /api/v1/gan/status Schema Contract</w:t>
            </w:r>
          </w:p>
        </w:tc>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Validates is_trained, total_classes</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0.048s</w:t>
            </w:r>
          </w:p>
        </w:tc>
        <w:tc>
          <w:tcPr>
            <w:tcW w:type="dxa" w:w="864"/>
            <w:shd w:val="clear" w:color="auto" w:fill="FDF8F5"/>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BB-02</w:t>
            </w:r>
          </w:p>
        </w:tc>
        <w:tc>
          <w:tcPr>
            <w:tcW w:type="dxa" w:w="1296"/>
            <w:shd w:val="clear" w:color="auto" w:fill="FFFFFF"/>
            <w:tcMar>
              <w:top w:w="75" w:type="dxa"/>
              <w:bottom w:w="75" w:type="dxa"/>
              <w:left w:w="130" w:type="dxa"/>
              <w:right w:w="130" w:type="dxa"/>
            </w:tcMar>
          </w:tcPr>
          <w:p>
            <w:pPr>
              <w:jc w:val="left"/>
            </w:pPr>
            <w:r>
              <w:rPr>
                <w:rFonts w:ascii="Calibri" w:hAnsi="Calibri"/>
                <w:color w:val="1E293B"/>
                <w:sz w:val="18"/>
              </w:rPr>
              <w:t>Black-Box</w:t>
            </w:r>
          </w:p>
        </w:tc>
        <w:tc>
          <w:tcPr>
            <w:tcW w:type="dxa" w:w="2592"/>
            <w:shd w:val="clear" w:color="auto" w:fill="FFFFFF"/>
            <w:tcMar>
              <w:top w:w="75" w:type="dxa"/>
              <w:bottom w:w="75" w:type="dxa"/>
              <w:left w:w="130" w:type="dxa"/>
              <w:right w:w="130" w:type="dxa"/>
            </w:tcMar>
          </w:tcPr>
          <w:p>
            <w:pPr>
              <w:jc w:val="left"/>
            </w:pPr>
            <w:r>
              <w:rPr>
                <w:rFonts w:ascii="Calibri" w:hAnsi="Calibri"/>
                <w:color w:val="1E293B"/>
                <w:sz w:val="18"/>
              </w:rPr>
              <w:t>GET /api/v1/gan/categories Schema Contract</w:t>
            </w:r>
          </w:p>
        </w:tc>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Returns 11 classes with valid macros</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0.042s</w:t>
            </w:r>
          </w:p>
        </w:tc>
        <w:tc>
          <w:tcPr>
            <w:tcW w:type="dxa" w:w="864"/>
            <w:shd w:val="clear" w:color="auto" w:fill="FFFFFF"/>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BB-03</w:t>
            </w:r>
          </w:p>
        </w:tc>
        <w:tc>
          <w:tcPr>
            <w:tcW w:type="dxa" w:w="1296"/>
            <w:shd w:val="clear" w:color="auto" w:fill="FDF8F5"/>
            <w:tcMar>
              <w:top w:w="75" w:type="dxa"/>
              <w:bottom w:w="75" w:type="dxa"/>
              <w:left w:w="130" w:type="dxa"/>
              <w:right w:w="130" w:type="dxa"/>
            </w:tcMar>
          </w:tcPr>
          <w:p>
            <w:pPr>
              <w:jc w:val="left"/>
            </w:pPr>
            <w:r>
              <w:rPr>
                <w:rFonts w:ascii="Calibri" w:hAnsi="Calibri"/>
                <w:color w:val="1E293B"/>
                <w:sz w:val="18"/>
              </w:rPr>
              <w:t>Black-Box</w:t>
            </w:r>
          </w:p>
        </w:tc>
        <w:tc>
          <w:tcPr>
            <w:tcW w:type="dxa" w:w="2592"/>
            <w:shd w:val="clear" w:color="auto" w:fill="FDF8F5"/>
            <w:tcMar>
              <w:top w:w="75" w:type="dxa"/>
              <w:bottom w:w="75" w:type="dxa"/>
              <w:left w:w="130" w:type="dxa"/>
              <w:right w:w="130" w:type="dxa"/>
            </w:tcMar>
          </w:tcPr>
          <w:p>
            <w:pPr>
              <w:jc w:val="left"/>
            </w:pPr>
            <w:r>
              <w:rPr>
                <w:rFonts w:ascii="Calibri" w:hAnsi="Calibri"/>
                <w:color w:val="1E293B"/>
                <w:sz w:val="18"/>
              </w:rPr>
              <w:t>GET /api/v1/gan/showcase Static Asset Contract</w:t>
            </w:r>
          </w:p>
        </w:tc>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Returns 11 valid static dish URLs</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0.041s</w:t>
            </w:r>
          </w:p>
        </w:tc>
        <w:tc>
          <w:tcPr>
            <w:tcW w:type="dxa" w:w="864"/>
            <w:shd w:val="clear" w:color="auto" w:fill="FDF8F5"/>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BB-04</w:t>
            </w:r>
          </w:p>
        </w:tc>
        <w:tc>
          <w:tcPr>
            <w:tcW w:type="dxa" w:w="1296"/>
            <w:shd w:val="clear" w:color="auto" w:fill="FFFFFF"/>
            <w:tcMar>
              <w:top w:w="75" w:type="dxa"/>
              <w:bottom w:w="75" w:type="dxa"/>
              <w:left w:w="130" w:type="dxa"/>
              <w:right w:w="130" w:type="dxa"/>
            </w:tcMar>
          </w:tcPr>
          <w:p>
            <w:pPr>
              <w:jc w:val="left"/>
            </w:pPr>
            <w:r>
              <w:rPr>
                <w:rFonts w:ascii="Calibri" w:hAnsi="Calibri"/>
                <w:color w:val="1E293B"/>
                <w:sz w:val="18"/>
              </w:rPr>
              <w:t>Black-Box</w:t>
            </w:r>
          </w:p>
        </w:tc>
        <w:tc>
          <w:tcPr>
            <w:tcW w:type="dxa" w:w="2592"/>
            <w:shd w:val="clear" w:color="auto" w:fill="FFFFFF"/>
            <w:tcMar>
              <w:top w:w="75" w:type="dxa"/>
              <w:bottom w:w="75" w:type="dxa"/>
              <w:left w:w="130" w:type="dxa"/>
              <w:right w:w="130" w:type="dxa"/>
            </w:tcMar>
          </w:tcPr>
          <w:p>
            <w:pPr>
              <w:jc w:val="left"/>
            </w:pPr>
            <w:r>
              <w:rPr>
                <w:rFonts w:ascii="Calibri" w:hAnsi="Calibri"/>
                <w:color w:val="1E293B"/>
                <w:sz w:val="18"/>
              </w:rPr>
              <w:t>Boundary Analysis: Valid Boundary Classes</w:t>
            </w:r>
          </w:p>
        </w:tc>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Classes 0 and 10 return HTTP 200 OK</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0.089s</w:t>
            </w:r>
          </w:p>
        </w:tc>
        <w:tc>
          <w:tcPr>
            <w:tcW w:type="dxa" w:w="864"/>
            <w:shd w:val="clear" w:color="auto" w:fill="FFFFFF"/>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BB-05</w:t>
            </w:r>
          </w:p>
        </w:tc>
        <w:tc>
          <w:tcPr>
            <w:tcW w:type="dxa" w:w="1296"/>
            <w:shd w:val="clear" w:color="auto" w:fill="FDF8F5"/>
            <w:tcMar>
              <w:top w:w="75" w:type="dxa"/>
              <w:bottom w:w="75" w:type="dxa"/>
              <w:left w:w="130" w:type="dxa"/>
              <w:right w:w="130" w:type="dxa"/>
            </w:tcMar>
          </w:tcPr>
          <w:p>
            <w:pPr>
              <w:jc w:val="left"/>
            </w:pPr>
            <w:r>
              <w:rPr>
                <w:rFonts w:ascii="Calibri" w:hAnsi="Calibri"/>
                <w:color w:val="1E293B"/>
                <w:sz w:val="18"/>
              </w:rPr>
              <w:t>Black-Box</w:t>
            </w:r>
          </w:p>
        </w:tc>
        <w:tc>
          <w:tcPr>
            <w:tcW w:type="dxa" w:w="2592"/>
            <w:shd w:val="clear" w:color="auto" w:fill="FDF8F5"/>
            <w:tcMar>
              <w:top w:w="75" w:type="dxa"/>
              <w:bottom w:w="75" w:type="dxa"/>
              <w:left w:w="130" w:type="dxa"/>
              <w:right w:w="130" w:type="dxa"/>
            </w:tcMar>
          </w:tcPr>
          <w:p>
            <w:pPr>
              <w:jc w:val="left"/>
            </w:pPr>
            <w:r>
              <w:rPr>
                <w:rFonts w:ascii="Calibri" w:hAnsi="Calibri"/>
                <w:color w:val="1E293B"/>
                <w:sz w:val="18"/>
              </w:rPr>
              <w:t>BVA: Negative Category Rejection</w:t>
            </w:r>
          </w:p>
        </w:tc>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category_id = -1 returns HTTP 422</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0.038s</w:t>
            </w:r>
          </w:p>
        </w:tc>
        <w:tc>
          <w:tcPr>
            <w:tcW w:type="dxa" w:w="864"/>
            <w:shd w:val="clear" w:color="auto" w:fill="FDF8F5"/>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BB-06</w:t>
            </w:r>
          </w:p>
        </w:tc>
        <w:tc>
          <w:tcPr>
            <w:tcW w:type="dxa" w:w="1296"/>
            <w:shd w:val="clear" w:color="auto" w:fill="FFFFFF"/>
            <w:tcMar>
              <w:top w:w="75" w:type="dxa"/>
              <w:bottom w:w="75" w:type="dxa"/>
              <w:left w:w="130" w:type="dxa"/>
              <w:right w:w="130" w:type="dxa"/>
            </w:tcMar>
          </w:tcPr>
          <w:p>
            <w:pPr>
              <w:jc w:val="left"/>
            </w:pPr>
            <w:r>
              <w:rPr>
                <w:rFonts w:ascii="Calibri" w:hAnsi="Calibri"/>
                <w:color w:val="1E293B"/>
                <w:sz w:val="18"/>
              </w:rPr>
              <w:t>Black-Box</w:t>
            </w:r>
          </w:p>
        </w:tc>
        <w:tc>
          <w:tcPr>
            <w:tcW w:type="dxa" w:w="2592"/>
            <w:shd w:val="clear" w:color="auto" w:fill="FFFFFF"/>
            <w:tcMar>
              <w:top w:w="75" w:type="dxa"/>
              <w:bottom w:w="75" w:type="dxa"/>
              <w:left w:w="130" w:type="dxa"/>
              <w:right w:w="130" w:type="dxa"/>
            </w:tcMar>
          </w:tcPr>
          <w:p>
            <w:pPr>
              <w:jc w:val="left"/>
            </w:pPr>
            <w:r>
              <w:rPr>
                <w:rFonts w:ascii="Calibri" w:hAnsi="Calibri"/>
                <w:color w:val="1E293B"/>
                <w:sz w:val="18"/>
              </w:rPr>
              <w:t>BVA: Overflow Category Rejection</w:t>
            </w:r>
          </w:p>
        </w:tc>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category_id = 11 returns HTTP 422</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0.039s</w:t>
            </w:r>
          </w:p>
        </w:tc>
        <w:tc>
          <w:tcPr>
            <w:tcW w:type="dxa" w:w="864"/>
            <w:shd w:val="clear" w:color="auto" w:fill="FFFFFF"/>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BB-07</w:t>
            </w:r>
          </w:p>
        </w:tc>
        <w:tc>
          <w:tcPr>
            <w:tcW w:type="dxa" w:w="1296"/>
            <w:shd w:val="clear" w:color="auto" w:fill="FDF8F5"/>
            <w:tcMar>
              <w:top w:w="75" w:type="dxa"/>
              <w:bottom w:w="75" w:type="dxa"/>
              <w:left w:w="130" w:type="dxa"/>
              <w:right w:w="130" w:type="dxa"/>
            </w:tcMar>
          </w:tcPr>
          <w:p>
            <w:pPr>
              <w:jc w:val="left"/>
            </w:pPr>
            <w:r>
              <w:rPr>
                <w:rFonts w:ascii="Calibri" w:hAnsi="Calibri"/>
                <w:color w:val="1E293B"/>
                <w:sz w:val="18"/>
              </w:rPr>
              <w:t>Black-Box</w:t>
            </w:r>
          </w:p>
        </w:tc>
        <w:tc>
          <w:tcPr>
            <w:tcW w:type="dxa" w:w="2592"/>
            <w:shd w:val="clear" w:color="auto" w:fill="FDF8F5"/>
            <w:tcMar>
              <w:top w:w="75" w:type="dxa"/>
              <w:bottom w:w="75" w:type="dxa"/>
              <w:left w:w="130" w:type="dxa"/>
              <w:right w:w="130" w:type="dxa"/>
            </w:tcMar>
          </w:tcPr>
          <w:p>
            <w:pPr>
              <w:jc w:val="left"/>
            </w:pPr>
            <w:r>
              <w:rPr>
                <w:rFonts w:ascii="Calibri" w:hAnsi="Calibri"/>
                <w:color w:val="1E293B"/>
                <w:sz w:val="18"/>
              </w:rPr>
              <w:t>BVA: Variation Count Boundary Bounds</w:t>
            </w:r>
          </w:p>
        </w:tc>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Variations in {0, 5} return HTTP 422</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0.076s</w:t>
            </w:r>
          </w:p>
        </w:tc>
        <w:tc>
          <w:tcPr>
            <w:tcW w:type="dxa" w:w="864"/>
            <w:shd w:val="clear" w:color="auto" w:fill="FDF8F5"/>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BB-08</w:t>
            </w:r>
          </w:p>
        </w:tc>
        <w:tc>
          <w:tcPr>
            <w:tcW w:type="dxa" w:w="1296"/>
            <w:shd w:val="clear" w:color="auto" w:fill="FFFFFF"/>
            <w:tcMar>
              <w:top w:w="75" w:type="dxa"/>
              <w:bottom w:w="75" w:type="dxa"/>
              <w:left w:w="130" w:type="dxa"/>
              <w:right w:w="130" w:type="dxa"/>
            </w:tcMar>
          </w:tcPr>
          <w:p>
            <w:pPr>
              <w:jc w:val="left"/>
            </w:pPr>
            <w:r>
              <w:rPr>
                <w:rFonts w:ascii="Calibri" w:hAnsi="Calibri"/>
                <w:color w:val="1E293B"/>
                <w:sz w:val="18"/>
              </w:rPr>
              <w:t>Black-Box</w:t>
            </w:r>
          </w:p>
        </w:tc>
        <w:tc>
          <w:tcPr>
            <w:tcW w:type="dxa" w:w="2592"/>
            <w:shd w:val="clear" w:color="auto" w:fill="FFFFFF"/>
            <w:tcMar>
              <w:top w:w="75" w:type="dxa"/>
              <w:bottom w:w="75" w:type="dxa"/>
              <w:left w:w="130" w:type="dxa"/>
              <w:right w:w="130" w:type="dxa"/>
            </w:tcMar>
          </w:tcPr>
          <w:p>
            <w:pPr>
              <w:jc w:val="left"/>
            </w:pPr>
            <w:r>
              <w:rPr>
                <w:rFonts w:ascii="Calibri" w:hAnsi="Calibri"/>
                <w:color w:val="1E293B"/>
                <w:sz w:val="18"/>
              </w:rPr>
              <w:t>BVA: Creativity Multiplier Bounds</w:t>
            </w:r>
          </w:p>
        </w:tc>
        <w:tc>
          <w:tcPr>
            <w:tcW w:type="dxa" w:w="2160"/>
            <w:shd w:val="clear" w:color="auto" w:fill="FFFFFF"/>
            <w:tcMar>
              <w:top w:w="75" w:type="dxa"/>
              <w:bottom w:w="75" w:type="dxa"/>
              <w:left w:w="130" w:type="dxa"/>
              <w:right w:w="130" w:type="dxa"/>
            </w:tcMar>
          </w:tcPr>
          <w:p>
            <w:pPr>
              <w:jc w:val="left"/>
            </w:pPr>
            <w:r>
              <w:rPr>
                <w:rFonts w:ascii="Calibri" w:hAnsi="Calibri"/>
                <w:color w:val="1E293B"/>
                <w:sz w:val="18"/>
              </w:rPr>
              <w:t>Creativity in {0.1, 3.5} return HTTP 422</w:t>
            </w:r>
          </w:p>
        </w:tc>
        <w:tc>
          <w:tcPr>
            <w:tcW w:type="dxa" w:w="1008"/>
            <w:shd w:val="clear" w:color="auto" w:fill="FFFFFF"/>
            <w:tcMar>
              <w:top w:w="75" w:type="dxa"/>
              <w:bottom w:w="75" w:type="dxa"/>
              <w:left w:w="130" w:type="dxa"/>
              <w:right w:w="130" w:type="dxa"/>
            </w:tcMar>
          </w:tcPr>
          <w:p>
            <w:pPr>
              <w:jc w:val="left"/>
            </w:pPr>
            <w:r>
              <w:rPr>
                <w:rFonts w:ascii="Calibri" w:hAnsi="Calibri"/>
                <w:color w:val="1E293B"/>
                <w:sz w:val="18"/>
              </w:rPr>
              <w:t>0.069s</w:t>
            </w:r>
          </w:p>
        </w:tc>
        <w:tc>
          <w:tcPr>
            <w:tcW w:type="dxa" w:w="864"/>
            <w:shd w:val="clear" w:color="auto" w:fill="FFFFFF"/>
            <w:tcMar>
              <w:top w:w="75" w:type="dxa"/>
              <w:bottom w:w="75" w:type="dxa"/>
              <w:left w:w="130" w:type="dxa"/>
              <w:right w:w="130" w:type="dxa"/>
            </w:tcMar>
          </w:tcPr>
          <w:p>
            <w:pPr>
              <w:jc w:val="left"/>
            </w:pPr>
            <w:r>
              <w:rPr>
                <w:rFonts w:ascii="Calibri" w:hAnsi="Calibri"/>
                <w:color w:val="1E293B"/>
                <w:sz w:val="18"/>
              </w:rPr>
              <w:t>PASS</w:t>
            </w:r>
          </w:p>
        </w:tc>
      </w:tr>
      <w:tr>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BB-09</w:t>
            </w:r>
          </w:p>
        </w:tc>
        <w:tc>
          <w:tcPr>
            <w:tcW w:type="dxa" w:w="1296"/>
            <w:shd w:val="clear" w:color="auto" w:fill="FDF8F5"/>
            <w:tcMar>
              <w:top w:w="75" w:type="dxa"/>
              <w:bottom w:w="75" w:type="dxa"/>
              <w:left w:w="130" w:type="dxa"/>
              <w:right w:w="130" w:type="dxa"/>
            </w:tcMar>
          </w:tcPr>
          <w:p>
            <w:pPr>
              <w:jc w:val="left"/>
            </w:pPr>
            <w:r>
              <w:rPr>
                <w:rFonts w:ascii="Calibri" w:hAnsi="Calibri"/>
                <w:color w:val="1E293B"/>
                <w:sz w:val="18"/>
              </w:rPr>
              <w:t>Black-Box</w:t>
            </w:r>
          </w:p>
        </w:tc>
        <w:tc>
          <w:tcPr>
            <w:tcW w:type="dxa" w:w="2592"/>
            <w:shd w:val="clear" w:color="auto" w:fill="FDF8F5"/>
            <w:tcMar>
              <w:top w:w="75" w:type="dxa"/>
              <w:bottom w:w="75" w:type="dxa"/>
              <w:left w:w="130" w:type="dxa"/>
              <w:right w:w="130" w:type="dxa"/>
            </w:tcMar>
          </w:tcPr>
          <w:p>
            <w:pPr>
              <w:jc w:val="left"/>
            </w:pPr>
            <w:r>
              <w:rPr>
                <w:rFonts w:ascii="Calibri" w:hAnsi="Calibri"/>
                <w:color w:val="1E293B"/>
                <w:sz w:val="18"/>
              </w:rPr>
              <w:t>Payload Integrity: Base64 to Valid PNG</w:t>
            </w:r>
          </w:p>
        </w:tc>
        <w:tc>
          <w:tcPr>
            <w:tcW w:type="dxa" w:w="2160"/>
            <w:shd w:val="clear" w:color="auto" w:fill="FDF8F5"/>
            <w:tcMar>
              <w:top w:w="75" w:type="dxa"/>
              <w:bottom w:w="75" w:type="dxa"/>
              <w:left w:w="130" w:type="dxa"/>
              <w:right w:w="130" w:type="dxa"/>
            </w:tcMar>
          </w:tcPr>
          <w:p>
            <w:pPr>
              <w:jc w:val="left"/>
            </w:pPr>
            <w:r>
              <w:rPr>
                <w:rFonts w:ascii="Calibri" w:hAnsi="Calibri"/>
                <w:color w:val="1E293B"/>
                <w:sz w:val="18"/>
              </w:rPr>
              <w:t>Decodes into valid 256x256 RGB bitmap</w:t>
            </w:r>
          </w:p>
        </w:tc>
        <w:tc>
          <w:tcPr>
            <w:tcW w:type="dxa" w:w="1008"/>
            <w:shd w:val="clear" w:color="auto" w:fill="FDF8F5"/>
            <w:tcMar>
              <w:top w:w="75" w:type="dxa"/>
              <w:bottom w:w="75" w:type="dxa"/>
              <w:left w:w="130" w:type="dxa"/>
              <w:right w:w="130" w:type="dxa"/>
            </w:tcMar>
          </w:tcPr>
          <w:p>
            <w:pPr>
              <w:jc w:val="left"/>
            </w:pPr>
            <w:r>
              <w:rPr>
                <w:rFonts w:ascii="Calibri" w:hAnsi="Calibri"/>
                <w:color w:val="1E293B"/>
                <w:sz w:val="18"/>
              </w:rPr>
              <w:t>0.098s</w:t>
            </w:r>
          </w:p>
        </w:tc>
        <w:tc>
          <w:tcPr>
            <w:tcW w:type="dxa" w:w="864"/>
            <w:shd w:val="clear" w:color="auto" w:fill="FDF8F5"/>
            <w:tcMar>
              <w:top w:w="75" w:type="dxa"/>
              <w:bottom w:w="75" w:type="dxa"/>
              <w:left w:w="130" w:type="dxa"/>
              <w:right w:w="130" w:type="dxa"/>
            </w:tcMar>
          </w:tcPr>
          <w:p>
            <w:pPr>
              <w:jc w:val="left"/>
            </w:pPr>
            <w:r>
              <w:rPr>
                <w:rFonts w:ascii="Calibri" w:hAnsi="Calibri"/>
                <w:color w:val="1E293B"/>
                <w:sz w:val="18"/>
              </w:rPr>
              <w:t>PASS</w:t>
            </w:r>
          </w:p>
        </w:tc>
      </w:tr>
    </w:tbl>
    <w:p>
      <w:pPr>
        <w:spacing w:after="120"/>
      </w:pPr>
    </w:p>
    <w:p>
      <w:pPr>
        <w:spacing w:after="100" w:line="276" w:lineRule="auto"/>
      </w:pPr>
      <w:r>
        <w:rPr>
          <w:rFonts w:ascii="Calibri" w:hAnsi="Calibri"/>
          <w:color w:val="334155"/>
          <w:sz w:val="20"/>
        </w:rPr>
        <w:t>Consolidated Execution Result: 18 Test Cases Executed, 18 Passed (100.0% Pass Rate), 0 Failures, Execution Duration: 0.823s.</w:t>
      </w:r>
    </w:p>
    <w:p>
      <w:pPr>
        <w:keepNext/>
        <w:spacing w:before="320" w:after="120"/>
      </w:pPr>
      <w:r>
        <w:rPr>
          <w:rFonts w:ascii="Calibri" w:hAnsi="Calibri"/>
          <w:b/>
          <w:color w:val="8B3A0F"/>
          <w:sz w:val="28"/>
        </w:rPr>
        <w:t>10. Full-Stack UI Integration (Neural Dish Studio)</w:t>
      </w:r>
    </w:p>
    <w:p>
      <w:pPr>
        <w:spacing w:after="100" w:line="276" w:lineRule="auto"/>
      </w:pPr>
      <w:r>
        <w:rPr>
          <w:rFonts w:ascii="Calibri" w:hAnsi="Calibri"/>
          <w:color w:val="334155"/>
          <w:sz w:val="20"/>
        </w:rPr>
        <w:t>The model is deployed via high-performance FastAPI asynchronous endpoints (/api/v1/gan/generate) delivering Base64 PNG images in &lt; 20 ms. The mobile and web UI (mobile/src/app/gan-studio.tsx) allows users to dynamically select categories, tune latent creativity, and view instant macronutrient breakdown badges.</w:t>
      </w:r>
    </w:p>
    <w:p>
      <w:pPr>
        <w:keepNext/>
        <w:spacing w:before="320" w:after="120"/>
      </w:pPr>
      <w:r>
        <w:rPr>
          <w:rFonts w:ascii="Calibri" w:hAnsi="Calibri"/>
          <w:b/>
          <w:color w:val="8B3A0F"/>
          <w:sz w:val="28"/>
        </w:rPr>
        <w:t>11. Conclusion &amp; Individual Authorship Statement</w:t>
      </w:r>
    </w:p>
    <w:p>
      <w:pPr>
        <w:spacing w:after="100" w:line="276" w:lineRule="auto"/>
      </w:pPr>
      <w:r>
        <w:rPr>
          <w:rFonts w:ascii="Calibri" w:hAnsi="Calibri"/>
          <w:color w:val="334155"/>
          <w:sz w:val="20"/>
        </w:rPr>
        <w:t>FoodConditionalGAN validates the power of Auxiliary Classifier GANs for culinary image synthesis. By coupling 28-D dense embeddings with dual-headed supervision and two time-scale updates, the architecture eliminates mode collapse, cuts FID by 50.0%, achieves 55.51% auxiliary categorical accuracy, and satisfies all ISO 29119 testing requirements at an ultra-low 14.2 ms CPU inference latency.</w:t>
      </w:r>
    </w:p>
    <w:p>
      <w:pPr>
        <w:pStyle w:val="ListBullet"/>
        <w:spacing w:after="60" w:line="276" w:lineRule="auto"/>
      </w:pPr>
      <w:r>
        <w:rPr>
          <w:rFonts w:ascii="Calibri" w:hAnsi="Calibri"/>
          <w:b/>
          <w:color w:val="8B3A0F"/>
          <w:sz w:val="19"/>
        </w:rPr>
        <w:t xml:space="preserve">Lead Student Author: </w:t>
      </w:r>
      <w:r>
        <w:rPr>
          <w:rFonts w:ascii="Calibri" w:hAnsi="Calibri"/>
          <w:color w:val="334155"/>
          <w:sz w:val="19"/>
        </w:rPr>
        <w:t>Ankith (Roll Number: CB.SC.U4CSE23133)</w:t>
      </w:r>
    </w:p>
    <w:p>
      <w:pPr>
        <w:pStyle w:val="ListBullet"/>
        <w:spacing w:after="60" w:line="276" w:lineRule="auto"/>
      </w:pPr>
      <w:r>
        <w:rPr>
          <w:rFonts w:ascii="Calibri" w:hAnsi="Calibri"/>
          <w:b/>
          <w:color w:val="8B3A0F"/>
          <w:sz w:val="19"/>
        </w:rPr>
        <w:t xml:space="preserve">Assigned Core Model: </w:t>
      </w:r>
      <w:r>
        <w:rPr>
          <w:rFonts w:ascii="Calibri" w:hAnsi="Calibri"/>
          <w:color w:val="334155"/>
          <w:sz w:val="19"/>
        </w:rPr>
        <w:t>Model 4: FoodConditionalGAN (Auxiliary Classifier DCGAN)</w:t>
      </w:r>
    </w:p>
    <w:p>
      <w:pPr>
        <w:pStyle w:val="ListBullet"/>
        <w:spacing w:after="60" w:line="276" w:lineRule="auto"/>
      </w:pPr>
      <w:r>
        <w:rPr>
          <w:rFonts w:ascii="Calibri" w:hAnsi="Calibri"/>
          <w:b/>
          <w:color w:val="8B3A0F"/>
          <w:sz w:val="19"/>
        </w:rPr>
        <w:t xml:space="preserve">Individual Technical Deliverables: </w:t>
      </w:r>
      <w:r>
        <w:rPr>
          <w:rFonts w:ascii="Calibri" w:hAnsi="Calibri"/>
          <w:color w:val="334155"/>
          <w:sz w:val="19"/>
        </w:rPr>
        <w:t>Generator and Discriminator architecture, TTUR optimization pipeline, PureFood11Dataset, FastAPI endpoints, and ISO 29119 automated testing suite.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