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E-commerce Intelligence Project</w:t>
        <w:br/>
        <w:t>Client Presentation Summary</w:t>
      </w:r>
    </w:p>
    <w:p>
      <w:pPr>
        <w:jc w:val="center"/>
      </w:pPr>
      <w:r>
        <w:rPr>
          <w:i/>
        </w:rPr>
        <w:t>Prepared from the customer intelligence dataset and summary workbook.</w:t>
      </w:r>
    </w:p>
    <w:p>
      <w:pPr>
        <w:pStyle w:val="Heading1"/>
      </w:pPr>
      <w:r>
        <w:t>Executive summary</w:t>
      </w:r>
    </w:p>
    <w:p>
      <w:r>
        <w:t>This project analyzed a 25,000-customer e-commerce dataset to identify customer profile patterns, value distribution, and churn behavior. The goal was to turn the raw data into a clean, client-ready view of the business, with practical summaries and charts that can support decision-making.</w:t>
      </w:r>
    </w:p>
    <w:p>
      <w:pPr>
        <w:pStyle w:val="Heading1"/>
      </w:pPr>
      <w:r>
        <w:t>Project highlights</w:t>
      </w:r>
    </w:p>
    <w:p>
      <w:pPr>
        <w:pStyle w:val="ListBullet"/>
      </w:pPr>
      <w:r>
        <w:t>Customers: 25000</w:t>
      </w:r>
    </w:p>
    <w:p>
      <w:pPr>
        <w:pStyle w:val="ListBullet"/>
      </w:pPr>
      <w:r>
        <w:t>Avg age: 44.0</w:t>
      </w:r>
    </w:p>
    <w:p>
      <w:pPr>
        <w:pStyle w:val="ListBullet"/>
      </w:pPr>
      <w:r>
        <w:t>Avg loyalty score: 49.9</w:t>
      </w:r>
    </w:p>
    <w:p>
      <w:pPr>
        <w:pStyle w:val="ListBullet"/>
      </w:pPr>
      <w:r>
        <w:t>Avg lifetime value: 10017.47</w:t>
      </w:r>
    </w:p>
    <w:p>
      <w:pPr>
        <w:pStyle w:val="ListBullet"/>
      </w:pPr>
      <w:r>
        <w:t>Churn rate: 21.6</w:t>
      </w:r>
    </w:p>
    <w:p>
      <w:pPr>
        <w:pStyle w:val="ListBullet"/>
      </w:pPr>
      <w:r>
        <w:t>Date range: 2018-01-01 to 2023-06-24</w:t>
      </w:r>
    </w:p>
    <w:p>
      <w:pPr>
        <w:pStyle w:val="Heading1"/>
      </w:pPr>
      <w:r>
        <w:t>Key findings</w:t>
      </w:r>
    </w:p>
    <w:p>
      <w:pPr>
        <w:pStyle w:val="ListBullet"/>
      </w:pPr>
      <w:r>
        <w:t>The customer base is broad and fairly balanced across genders, with Male customers at 8,411, Other at 8,346, and Female at 8,243.</w:t>
      </w:r>
    </w:p>
    <w:p>
      <w:pPr>
        <w:pStyle w:val="ListBullet"/>
      </w:pPr>
      <w:r>
        <w:t>France, Brazil, USA, India, and Canada are the largest markets by customer count, each contributing roughly three thousand customers or more.</w:t>
      </w:r>
    </w:p>
    <w:p>
      <w:pPr>
        <w:pStyle w:val="ListBullet"/>
      </w:pPr>
      <w:r>
        <w:t>Average lifetime value is highest in the most active customer segments, while the overall churn rate is 21.6%, which highlights an opportunity for retention focus.</w:t>
      </w:r>
    </w:p>
    <w:p>
      <w:pPr>
        <w:pStyle w:val="ListBullet"/>
      </w:pPr>
      <w:r>
        <w:t>The age distribution suggests a strong mix of Young Adult, Adult, Mid-Career, and Senior segments, making segmentation and tailored messaging valuable.</w:t>
      </w:r>
    </w:p>
    <w:p>
      <w:pPr>
        <w:pStyle w:val="Heading1"/>
      </w:pPr>
      <w:r>
        <w:t>Recommended business actions</w:t>
      </w:r>
    </w:p>
    <w:p>
      <w:pPr>
        <w:pStyle w:val="ListNumber"/>
      </w:pPr>
      <w:r>
        <w:t>Prioritize retention campaigns for customer groups with above-average churn.</w:t>
      </w:r>
    </w:p>
    <w:p>
      <w:pPr>
        <w:pStyle w:val="ListNumber"/>
      </w:pPr>
      <w:r>
        <w:t>Use country-level summaries to tailor regional marketing, pricing, and loyalty strategy.</w:t>
      </w:r>
    </w:p>
    <w:p>
      <w:pPr>
        <w:pStyle w:val="ListNumber"/>
      </w:pPr>
      <w:r>
        <w:t>Build segment-specific messaging around age bands and customer value tiers.</w:t>
      </w:r>
    </w:p>
    <w:p>
      <w:pPr>
        <w:pStyle w:val="ListNumber"/>
      </w:pPr>
      <w:r>
        <w:t>Track monthly customer trends and lifetime value as ongoing KPIs for leadership reviews.</w:t>
      </w:r>
    </w:p>
    <w:p>
      <w:pPr>
        <w:pStyle w:val="Heading1"/>
      </w:pPr>
      <w:r>
        <w:t>Deliverables completed</w:t>
      </w:r>
    </w:p>
    <w:p>
      <w:pPr>
        <w:pStyle w:val="ListBullet"/>
      </w:pPr>
      <w:r>
        <w:t>Cleaned summary workbook with dedicated summary sheets and charts.</w:t>
      </w:r>
    </w:p>
    <w:p>
      <w:pPr>
        <w:pStyle w:val="ListBullet"/>
      </w:pPr>
      <w:r>
        <w:t>Client-ready presentation narrative in this document.</w:t>
      </w:r>
    </w:p>
    <w:p>
      <w:pPr>
        <w:pStyle w:val="ListBullet"/>
      </w:pPr>
      <w:r>
        <w:t>A structured basis for future reporting or dashboard expansion.</w:t>
      </w:r>
    </w:p>
    <w:p>
      <w:pPr>
        <w:pStyle w:val="Heading2"/>
      </w:pPr>
      <w:r>
        <w:t>Top countries by customer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avg_ltv</w:t>
            </w:r>
          </w:p>
        </w:tc>
        <w:tc>
          <w:tcPr>
            <w:tcW w:type="dxa" w:w="2160"/>
          </w:tcPr>
          <w:p>
            <w:r>
              <w:t>churn_rate</w:t>
            </w:r>
          </w:p>
        </w:tc>
      </w:tr>
      <w:tr>
        <w:tc>
          <w:tcPr>
            <w:tcW w:type="dxa" w:w="2160"/>
          </w:tcPr>
          <w:p>
            <w:r>
              <w:t>France</w:t>
            </w:r>
          </w:p>
        </w:tc>
        <w:tc>
          <w:tcPr>
            <w:tcW w:type="dxa" w:w="2160"/>
          </w:tcPr>
          <w:p>
            <w:r>
              <w:t>3,247</w:t>
            </w:r>
          </w:p>
        </w:tc>
        <w:tc>
          <w:tcPr>
            <w:tcW w:type="dxa" w:w="2160"/>
          </w:tcPr>
          <w:p>
            <w:r>
              <w:t>9,938.98</w:t>
            </w:r>
          </w:p>
        </w:tc>
        <w:tc>
          <w:tcPr>
            <w:tcW w:type="dxa" w:w="2160"/>
          </w:tcPr>
          <w:p>
            <w:r>
              <w:t>21.4%</w:t>
            </w:r>
          </w:p>
        </w:tc>
      </w:tr>
      <w:tr>
        <w:tc>
          <w:tcPr>
            <w:tcW w:type="dxa" w:w="2160"/>
          </w:tcPr>
          <w:p>
            <w:r>
              <w:t>Brazil</w:t>
            </w:r>
          </w:p>
        </w:tc>
        <w:tc>
          <w:tcPr>
            <w:tcW w:type="dxa" w:w="2160"/>
          </w:tcPr>
          <w:p>
            <w:r>
              <w:t>3,192</w:t>
            </w:r>
          </w:p>
        </w:tc>
        <w:tc>
          <w:tcPr>
            <w:tcW w:type="dxa" w:w="2160"/>
          </w:tcPr>
          <w:p>
            <w:r>
              <w:t>10,000.97</w:t>
            </w:r>
          </w:p>
        </w:tc>
        <w:tc>
          <w:tcPr>
            <w:tcW w:type="dxa" w:w="2160"/>
          </w:tcPr>
          <w:p>
            <w:r>
              <w:t>22.0%</w:t>
            </w:r>
          </w:p>
        </w:tc>
      </w:tr>
      <w:tr>
        <w:tc>
          <w:tcPr>
            <w:tcW w:type="dxa" w:w="2160"/>
          </w:tcPr>
          <w:p>
            <w:r>
              <w:t>USA</w:t>
            </w:r>
          </w:p>
        </w:tc>
        <w:tc>
          <w:tcPr>
            <w:tcW w:type="dxa" w:w="2160"/>
          </w:tcPr>
          <w:p>
            <w:r>
              <w:t>3,148</w:t>
            </w:r>
          </w:p>
        </w:tc>
        <w:tc>
          <w:tcPr>
            <w:tcW w:type="dxa" w:w="2160"/>
          </w:tcPr>
          <w:p>
            <w:r>
              <w:t>10,056.63</w:t>
            </w:r>
          </w:p>
        </w:tc>
        <w:tc>
          <w:tcPr>
            <w:tcW w:type="dxa" w:w="2160"/>
          </w:tcPr>
          <w:p>
            <w:r>
              <w:t>22.5%</w:t>
            </w:r>
          </w:p>
        </w:tc>
      </w:tr>
      <w:tr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3,122</w:t>
            </w:r>
          </w:p>
        </w:tc>
        <w:tc>
          <w:tcPr>
            <w:tcW w:type="dxa" w:w="2160"/>
          </w:tcPr>
          <w:p>
            <w:r>
              <w:t>10,007.03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</w:tr>
      <w:tr>
        <w:tc>
          <w:tcPr>
            <w:tcW w:type="dxa" w:w="2160"/>
          </w:tcPr>
          <w:p>
            <w:r>
              <w:t>Canada</w:t>
            </w:r>
          </w:p>
        </w:tc>
        <w:tc>
          <w:tcPr>
            <w:tcW w:type="dxa" w:w="2160"/>
          </w:tcPr>
          <w:p>
            <w:r>
              <w:t>3,105</w:t>
            </w:r>
          </w:p>
        </w:tc>
        <w:tc>
          <w:tcPr>
            <w:tcW w:type="dxa" w:w="2160"/>
          </w:tcPr>
          <w:p>
            <w:r>
              <w:t>9,956.33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</w:tr>
    </w:tbl>
    <w:p>
      <w:pPr>
        <w:pStyle w:val="Heading2"/>
      </w:pPr>
      <w:r>
        <w:t>Gender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churn_rate</w:t>
            </w:r>
          </w:p>
        </w:tc>
      </w:tr>
      <w:tr>
        <w:tc>
          <w:tcPr>
            <w:tcW w:type="dxa" w:w="2880"/>
          </w:tcPr>
          <w:p>
            <w:r>
              <w:t>Male</w:t>
            </w:r>
          </w:p>
        </w:tc>
        <w:tc>
          <w:tcPr>
            <w:tcW w:type="dxa" w:w="2880"/>
          </w:tcPr>
          <w:p>
            <w:r>
              <w:t>8,411</w:t>
            </w:r>
          </w:p>
        </w:tc>
        <w:tc>
          <w:tcPr>
            <w:tcW w:type="dxa" w:w="2880"/>
          </w:tcPr>
          <w:p>
            <w:r>
              <w:t>21.4%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8,346</w:t>
            </w:r>
          </w:p>
        </w:tc>
        <w:tc>
          <w:tcPr>
            <w:tcW w:type="dxa" w:w="2880"/>
          </w:tcPr>
          <w:p>
            <w:r>
              <w:t>21.9%</w:t>
            </w:r>
          </w:p>
        </w:tc>
      </w:tr>
      <w:tr>
        <w:tc>
          <w:tcPr>
            <w:tcW w:type="dxa" w:w="2880"/>
          </w:tcPr>
          <w:p>
            <w:r>
              <w:t>Female</w:t>
            </w:r>
          </w:p>
        </w:tc>
        <w:tc>
          <w:tcPr>
            <w:tcW w:type="dxa" w:w="2880"/>
          </w:tcPr>
          <w:p>
            <w:r>
              <w:t>8,243</w:t>
            </w:r>
          </w:p>
        </w:tc>
        <w:tc>
          <w:tcPr>
            <w:tcW w:type="dxa" w:w="2880"/>
          </w:tcPr>
          <w:p>
            <w:r>
              <w:t>21.6%</w:t>
            </w:r>
          </w:p>
        </w:tc>
      </w:tr>
    </w:tbl>
    <w:p>
      <w:pPr>
        <w:pStyle w:val="Heading2"/>
      </w:pPr>
      <w:r>
        <w:t>Age band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age_band</w:t>
            </w:r>
          </w:p>
        </w:tc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churn_rate</w:t>
            </w:r>
          </w:p>
        </w:tc>
      </w:tr>
      <w:tr>
        <w:tc>
          <w:tcPr>
            <w:tcW w:type="dxa" w:w="2880"/>
          </w:tcPr>
          <w:p>
            <w:r>
              <w:t>Senior</w:t>
            </w:r>
          </w:p>
        </w:tc>
        <w:tc>
          <w:tcPr>
            <w:tcW w:type="dxa" w:w="2880"/>
          </w:tcPr>
          <w:p>
            <w:r>
              <w:t>9,414</w:t>
            </w:r>
          </w:p>
        </w:tc>
        <w:tc>
          <w:tcPr>
            <w:tcW w:type="dxa" w:w="2880"/>
          </w:tcPr>
          <w:p>
            <w:r>
              <w:t>21.6%</w:t>
            </w:r>
          </w:p>
        </w:tc>
      </w:tr>
      <w:tr>
        <w:tc>
          <w:tcPr>
            <w:tcW w:type="dxa" w:w="2880"/>
          </w:tcPr>
          <w:p>
            <w:r>
              <w:t>Mid-Career</w:t>
            </w:r>
          </w:p>
        </w:tc>
        <w:tc>
          <w:tcPr>
            <w:tcW w:type="dxa" w:w="2880"/>
          </w:tcPr>
          <w:p>
            <w:r>
              <w:t>7,106</w:t>
            </w:r>
          </w:p>
        </w:tc>
        <w:tc>
          <w:tcPr>
            <w:tcW w:type="dxa" w:w="2880"/>
          </w:tcPr>
          <w:p>
            <w:r>
              <w:t>21.6%</w:t>
            </w:r>
          </w:p>
        </w:tc>
      </w:tr>
      <w:tr>
        <w:tc>
          <w:tcPr>
            <w:tcW w:type="dxa" w:w="2880"/>
          </w:tcPr>
          <w:p>
            <w:r>
              <w:t>Adult</w:t>
            </w:r>
          </w:p>
        </w:tc>
        <w:tc>
          <w:tcPr>
            <w:tcW w:type="dxa" w:w="2880"/>
          </w:tcPr>
          <w:p>
            <w:r>
              <w:t>4,672</w:t>
            </w:r>
          </w:p>
        </w:tc>
        <w:tc>
          <w:tcPr>
            <w:tcW w:type="dxa" w:w="2880"/>
          </w:tcPr>
          <w:p>
            <w:r>
              <w:t>21.9%</w:t>
            </w:r>
          </w:p>
        </w:tc>
      </w:tr>
      <w:tr>
        <w:tc>
          <w:tcPr>
            <w:tcW w:type="dxa" w:w="2880"/>
          </w:tcPr>
          <w:p>
            <w:r>
              <w:t>Young Adult</w:t>
            </w:r>
          </w:p>
        </w:tc>
        <w:tc>
          <w:tcPr>
            <w:tcW w:type="dxa" w:w="2880"/>
          </w:tcPr>
          <w:p>
            <w:r>
              <w:t>3,808</w:t>
            </w:r>
          </w:p>
        </w:tc>
        <w:tc>
          <w:tcPr>
            <w:tcW w:type="dxa" w:w="2880"/>
          </w:tcPr>
          <w:p>
            <w:r>
              <w:t>21.5%</w:t>
            </w:r>
          </w:p>
        </w:tc>
      </w:tr>
    </w:tbl>
    <w:p>
      <w:pPr>
        <w:pStyle w:val="Heading1"/>
      </w:pPr>
      <w:r>
        <w:t>Closing statement</w:t>
      </w:r>
    </w:p>
    <w:p>
      <w:r>
        <w:t>This project is ready for client presentation as a concise business summary. The workbook provides the detailed evidence, while this document is suitable for sharing the story, outcomes, and recommended next steps with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