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AgentOS — Development Plan</w:t>
      </w:r>
    </w:p>
    <w:p>
      <w:pPr/>
      <w:r>
        <w:t xml:space="preserve">Oct 4, 2026</w:t>
      </w:r>
      <w:r>
        <w:t xml:space="preserve"> · </w:t>
      </w:r>
      <w:r>
        <w:t xml:space="preserve">@Ankit</w:t>
      </w:r>
    </w:p>
    <w:p>
      <w:pPr/>
      <w:r>
        <w:t xml:space="preserve">A backend-first, phased plan for AgentOS as an Electron desktop client over an always-on FastAPI service. UI screens are out of scope (built separately with AI); this covers the backend, the Electron shell and integration contract, and the system design — sequenced to de-risk the metering and settlement moat while shipping a working agent early.</w:t>
      </w:r>
    </w:p>
    <w:p>
      <w:pPr>
        <w:pStyle w:val="Heading2"/>
      </w:pPr>
      <w:r>
        <w:t xml:space="preserve">Overview &amp; approach</w:t>
      </w:r>
    </w:p>
    <w:p>
      <w:pPr/>
      <w:r>
        <w:t xml:space="preserve">AgentOS is a control plane for an AI agent workforce. The product value — agents running 24/7, metering every unit of work, settling spend — only exists if the core runs </w:t>
      </w:r>
      <w:r>
        <w:rPr>
          <w:b/>
        </w:rPr>
        <w:t xml:space="preserve">always-on, server-side</w:t>
      </w:r>
      <w:r>
        <w:t xml:space="preserve">. So the architecture is backend-first: a FastAPI service owns the runtime, metering, and settlement; the Electron app is a desktop </w:t>
      </w:r>
      <w:r>
        <w:rPr>
          <w:b/>
        </w:rPr>
        <w:t xml:space="preserve">client</w:t>
      </w:r>
      <w:r>
        <w:t xml:space="preserve"> onto it.</w:t>
      </w:r>
    </w:p>
    <w:p>
      <w:pPr/>
      <w:r>
        <w:rPr>
          <w:b/>
        </w:rPr>
        <w:t xml:space="preserve">The key decision: one backend, two deployment modes.</w:t>
      </w:r>
      <w:r>
        <w:t xml:space="preserve"> The same FastAPI codebase runs as (a) a </w:t>
      </w:r>
      <w:r>
        <w:rPr>
          <w:b/>
        </w:rPr>
        <w:t xml:space="preserve">local sidecar</w:t>
      </w:r>
      <w:r>
        <w:t xml:space="preserve"> that Electron spawns — the dev and single-tenant/self-hosted mode — and (b) the </w:t>
      </w:r>
      <w:r>
        <w:rPr>
          <w:b/>
        </w:rPr>
        <w:t xml:space="preserve">cloud service</w:t>
      </w:r>
      <w:r>
        <w:t xml:space="preserve"> that is the real multi-tenant product. The Electron client points at a configurable backend URL and never assumes which it is talking to. This keeps local dev fast, gives a self-hosted story for free later, and avoids forking the codebase.</w:t>
      </w:r>
    </w:p>
    <w:p>
      <w:pPr/>
      <w:r>
        <w:rPr>
          <w:b/>
        </w:rPr>
        <w:t xml:space="preserve">What is in scope here:</w:t>
      </w:r>
      <w:r>
        <w:t xml:space="preserve"> the FastAPI backend and all core services; the Electron shell (process model, backend connection and sidecar lifecycle, secure IPC, packaging, auto-update, the typed API client); the data model, system design, and phase plan.</w:t>
      </w:r>
    </w:p>
    <w:p>
      <w:pPr/>
      <w:r>
        <w:rPr>
          <w:b/>
        </w:rPr>
        <w:t xml:space="preserve">What is out of scope:</w:t>
      </w:r>
      <w:r>
        <w:t xml:space="preserve"> all UI screens and components — built separately with AI. The contract between them is a versioned REST + WebSocket API plus a generated client SDK, so the UI can be built against a stable surface in parallel.</w:t>
      </w:r>
    </w:p>
    <w:p>
      <w:pPr/>
      <w:r>
        <w:rPr>
          <w:b/>
        </w:rPr>
        <w:t xml:space="preserve">Sequencing principle:</w:t>
      </w:r>
      <w:r>
        <w:t xml:space="preserve"> ship a working agent end-to-end early (proves runtime + connectors + the client), instrument metering from day one, then build the defensible core (rating, budgets, settlement) on real usage data — rather than polishing breadth before the moat exists.</w:t>
      </w:r>
    </w:p>
    <w:p>
      <w:pPr>
        <w:pStyle w:val="Heading2"/>
      </w:pPr>
      <w:r>
        <w:t xml:space="preserve">System architecture</w:t>
      </w:r>
    </w:p>
    <w:p>
      <w:pPr/>
      <w:r>
        <w:t xml:space="preserve">The Electron client talks only to the FastAPI gateway; every core service lives behind it, server-side. The runtime, connectors, and the charging core (metering + wallet, highlighted) run in the backend whether or not the desktop app is open.</w:t>
      </w:r>
    </w:p>
    <w:p>
      <w:pPr/>
      <w:r>
        <w:drawing>
          <wp:inline distT="0" distB="0" distL="0" distR="0">
            <wp:extent cx="5486400" cy="4237264"/>
            <wp:docPr id="1" name="image1" descr="system architecture · control plane + backend co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control plane + backend cor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control plane + backend core</w:t>
      </w:r>
    </w:p>
    <w:p>
      <w:pPr/>
      <w:r>
        <w:t xml:space="preserve">The charging loop is the distinctive part: the runtime emits a usage event for every billable action, metering rates it against the rate card, and the wallet is debited — and the runtime checks the wallet's balance and budget </w:t>
      </w:r>
      <w:r>
        <w:rPr>
          <w:i/>
        </w:rPr>
        <w:t xml:space="preserve">before</w:t>
      </w:r>
      <w:r>
        <w:t xml:space="preserve"> each action (real-time credit control, the telecom online-charging pattern). The gateway fronts all services; only the client is on the desktop.</w:t>
      </w:r>
    </w:p>
    <w:p>
      <w:pPr>
        <w:pStyle w:val="Heading2"/>
      </w:pPr>
      <w:r>
        <w:t xml:space="preserve">Core design principles</w:t>
      </w:r>
    </w:p>
    <w:p>
      <w:pPr/>
      <w:r>
        <w:t xml:space="preserve">These tenets apply in every phase; the phase plan is how they get built 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Control plane vs. data plane.</w:t>
      </w:r>
      <w:r>
        <w:t xml:space="preserve"> The API/config path (managing agents, reading state) is separate from the execution path (agents doing work). They scale, fail, and deploy independently; a flood of agent runs never takes down the management console.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Agents run as managed jobs, not request threads.</w:t>
      </w:r>
      <w:r>
        <w:t xml:space="preserve"> Work is enqueued and executed by stateless workers, so an agent survives a client disconnect, a deploy, or a crash, and the fleet scales by adding workers.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Event-driven metering, decoupled from execution.</w:t>
      </w:r>
      <w:r>
        <w:t xml:space="preserve"> Every billable action emits a usage event onto a bus. Rating and ledger writes happen downstream, so metering never sits on the hot path of an agent doing its job.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Exactly-once accounting.</w:t>
      </w:r>
      <w:r>
        <w:t xml:space="preserve"> Every usage event carries an idempotency key; rating and ledger writes dedupe on it. A retried LLM call or a replayed event must never double-bill — the integrity of the whole product depends on this.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Append-only ledger, balances are projections.</w:t>
      </w:r>
      <w:r>
        <w:t xml:space="preserve"> Money movements are immutable ledger entries; a wallet balance is a derived view (with a cached running total for speed). This is auditable by construction and the right base for invoicing and reconciliation.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Real-time credit control.</w:t>
      </w:r>
      <w:r>
        <w:t xml:space="preserve"> Before a billable action, the runtime checks the wallet against budgets and balance and can throttle or stop — the telecom online-charging pattern, not after-the-fact reporting.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Tenant isolation everywhere.</w:t>
      </w:r>
      <w:r>
        <w:t xml:space="preserve"> Tenant id is on every row, every event, every log line, and is enforced at the data layer, not just in application code. Credentials are encrypted per tenant.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Config is data, and versioned.</w:t>
      </w:r>
      <w:r>
        <w:t xml:space="preserve"> An agent definition is a versioned record; a run pins the exact version it executed. Changes are diffable and rollback-able, and the audit log ties every action to a config version.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Stable, versioned API contract.</w:t>
      </w:r>
      <w:r>
        <w:t xml:space="preserve"> The client and the separately-built UI depend only on a versioned REST + WebSocket surface with a generated typed SDK — internals can change freely behind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Observability is not optional.</w:t>
      </w:r>
      <w:r>
        <w:t xml:space="preserve"> Structured logs, metrics, and distributed traces from Phase 0, with a trace id spanning client → API → worker → provider call, so cost and latency are attributable per agent run.</w:t>
      </w:r>
    </w:p>
    <w:p>
      <w:pPr>
        <w:pStyle w:val="Heading2"/>
      </w:pPr>
      <w:r>
        <w:t xml:space="preserve">Tech stack</w:t>
      </w:r>
    </w:p>
    <w:p>
      <w:pPr/>
      <w:r>
        <w:t xml:space="preserve">Boring, proven components by default; the only exotic choices are where the charging core or scale demands them. Recommendations noted where a decision is still open (see Risks &amp; key decisions).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/ tradeoff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Desktop shell</w:t>
            </w:r>
          </w:p>
        </w:tc>
        <w:tc>
          <w:tcPr>
            <w:tcW w:w="3120" w:type="dxa"/>
          </w:tcPr>
          <w:p>
            <w:pPr/>
            <w:r>
              <w:t xml:space="preserve">Electron + secure IPC</w:t>
            </w:r>
          </w:p>
        </w:tc>
        <w:tc>
          <w:tcPr>
            <w:tcW w:w="3120" w:type="dxa"/>
          </w:tcPr>
          <w:p>
            <w:pPr/>
            <w:r>
              <w:t xml:space="preserve">Cross-platform, web-based UI (fits building UI with AI). Heavier than native, acceptable for a management console.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backend</w:t>
            </w:r>
          </w:p>
        </w:tc>
        <w:tc>
          <w:tcPr>
            <w:tcW w:w="3120" w:type="dxa"/>
          </w:tcPr>
          <w:p>
            <w:pPr/>
            <w:r>
              <w:t xml:space="preserve">FastAPI (async, Pydantic)</w:t>
            </w:r>
          </w:p>
        </w:tc>
        <w:tc>
          <w:tcPr>
            <w:tcW w:w="3120" w:type="dxa"/>
          </w:tcPr>
          <w:p>
            <w:pPr/>
            <w:r>
              <w:t xml:space="preserve">Typed, async, OpenAPI for free — generates the client/UI SDK. The team's core language.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 orchestration</w:t>
            </w:r>
          </w:p>
        </w:tc>
        <w:tc>
          <w:tcPr>
            <w:tcW w:w="3120" w:type="dxa"/>
          </w:tcPr>
          <w:p>
            <w:pPr/>
            <w:r>
              <w:t xml:space="preserve">LangGraph</w:t>
            </w:r>
          </w:p>
        </w:tc>
        <w:tc>
          <w:tcPr>
            <w:tcW w:w="3120" w:type="dxa"/>
          </w:tcPr>
          <w:p>
            <w:pPr/>
            <w:r>
              <w:t xml:space="preserve">Explicit stateful graphs, checkpointing, human-in-the-loop; matches existing LangChain/LangGraph depth.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Execution / workers</w:t>
            </w:r>
          </w:p>
        </w:tc>
        <w:tc>
          <w:tcPr>
            <w:tcW w:w="3120" w:type="dxa"/>
          </w:tcPr>
          <w:p>
            <w:pPr/>
            <w:r>
              <w:t xml:space="preserve">Temporal (recommended)</w:t>
            </w:r>
          </w:p>
        </w:tc>
        <w:tc>
          <w:tcPr>
            <w:tcW w:w="3120" w:type="dxa"/>
          </w:tcPr>
          <w:p>
            <w:pPr/>
            <w:r>
              <w:t xml:space="preserve">Durable, resumable long-running agent workflows with retries and timers. Heavier ops; Celery or Arq is a lighter v0 if needed.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Primary database</w:t>
            </w:r>
          </w:p>
        </w:tc>
        <w:tc>
          <w:tcPr>
            <w:tcW w:w="3120" w:type="dxa"/>
          </w:tcPr>
          <w:p>
            <w:pPr/>
            <w:r>
              <w:t xml:space="preserve">Postgres</w:t>
            </w:r>
          </w:p>
        </w:tc>
        <w:tc>
          <w:tcPr>
            <w:tcW w:w="3120" w:type="dxa"/>
          </w:tcPr>
          <w:p>
            <w:pPr/>
            <w:r>
              <w:t xml:space="preserve">Config, ledger, tenancy in one reliable store; row-level security for tenant isolation.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Cache + credit control</w:t>
            </w:r>
          </w:p>
        </w:tc>
        <w:tc>
          <w:tcPr>
            <w:tcW w:w="3120" w:type="dxa"/>
          </w:tcPr>
          <w:p>
            <w:pPr/>
            <w:r>
              <w:t xml:space="preserve">Redis</w:t>
            </w:r>
          </w:p>
        </w:tc>
        <w:tc>
          <w:tcPr>
            <w:tcW w:w="3120" w:type="dxa"/>
          </w:tcPr>
          <w:p>
            <w:pPr/>
            <w:r>
              <w:t xml:space="preserve">Real-time balance and budget checks, rate limits, distributed locks on the hot path.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 bus</w:t>
            </w:r>
          </w:p>
        </w:tc>
        <w:tc>
          <w:tcPr>
            <w:tcW w:w="3120" w:type="dxa"/>
          </w:tcPr>
          <w:p>
            <w:pPr/>
            <w:r>
              <w:t xml:space="preserve">NATS → Kafka</w:t>
            </w:r>
          </w:p>
        </w:tc>
        <w:tc>
          <w:tcPr>
            <w:tcW w:w="3120" w:type="dxa"/>
          </w:tcPr>
          <w:p>
            <w:pPr/>
            <w:r>
              <w:t xml:space="preserve">Usage-event transport. NATS is simpler early; move to Kafka for durable, high-throughput, replayable metering at scale.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Usage store</w:t>
            </w:r>
          </w:p>
        </w:tc>
        <w:tc>
          <w:tcPr>
            <w:tcW w:w="3120" w:type="dxa"/>
          </w:tcPr>
          <w:p>
            <w:pPr/>
            <w:r>
              <w:t xml:space="preserve">ClickHouse</w:t>
            </w:r>
          </w:p>
        </w:tc>
        <w:tc>
          <w:tcPr>
            <w:tcW w:w="3120" w:type="dxa"/>
          </w:tcPr>
          <w:p>
            <w:pPr/>
            <w:r>
              <w:t xml:space="preserve">High-volume usage events and spend analytics; columnar aggregation. Timescale is a Postgres-native alternative.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Credential vault</w:t>
            </w:r>
          </w:p>
        </w:tc>
        <w:tc>
          <w:tcPr>
            <w:tcW w:w="3120" w:type="dxa"/>
          </w:tcPr>
          <w:p>
            <w:pPr/>
            <w:r>
              <w:t xml:space="preserve">Postgres + envelope encryption (KMS)</w:t>
            </w:r>
          </w:p>
        </w:tc>
        <w:tc>
          <w:tcPr>
            <w:tcW w:w="3120" w:type="dxa"/>
          </w:tcPr>
          <w:p>
            <w:pPr/>
            <w:r>
              <w:t xml:space="preserve">Per-tenant connector secrets, encrypted at rest. Graduate to Vault if secret sprawl grows.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Payments</w:t>
            </w:r>
          </w:p>
        </w:tc>
        <w:tc>
          <w:tcPr>
            <w:tcW w:w="3120" w:type="dxa"/>
          </w:tcPr>
          <w:p>
            <w:pPr/>
            <w:r>
              <w:t xml:space="preserve">Stripe (Billing + Connect)</w:t>
            </w:r>
          </w:p>
        </w:tc>
        <w:tc>
          <w:tcPr>
            <w:tcW w:w="3120" w:type="dxa"/>
          </w:tcPr>
          <w:p>
            <w:pPr/>
            <w:r>
              <w:t xml:space="preserve">Top-ups, invoicing, payouts — don't build a payment rail.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Connector protocol</w:t>
            </w:r>
          </w:p>
        </w:tc>
        <w:tc>
          <w:tcPr>
            <w:tcW w:w="3120" w:type="dxa"/>
          </w:tcPr>
          <w:p>
            <w:pPr/>
            <w:r>
              <w:t xml:space="preserve">MCP</w:t>
            </w:r>
          </w:p>
        </w:tc>
        <w:tc>
          <w:tcPr>
            <w:tcW w:w="3120" w:type="dxa"/>
          </w:tcPr>
          <w:p>
            <w:pPr/>
            <w:r>
              <w:t xml:space="preserve">Reuse the growing tool-integration ecosystem instead of bespoke adapters.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 &amp; identity</w:t>
            </w:r>
          </w:p>
        </w:tc>
        <w:tc>
          <w:tcPr>
            <w:tcW w:w="3120" w:type="dxa"/>
          </w:tcPr>
          <w:p>
            <w:pPr/>
            <w:r>
              <w:t xml:space="preserve">OIDC provider (Clerk/Auth0)</w:t>
            </w:r>
          </w:p>
        </w:tc>
        <w:tc>
          <w:tcPr>
            <w:tcW w:w="3120" w:type="dxa"/>
          </w:tcPr>
          <w:p>
            <w:pPr/>
            <w:r>
              <w:t xml:space="preserve">Tenants, users, API keys now; SSO/SAML later for enterprise.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Observability</w:t>
            </w:r>
          </w:p>
        </w:tc>
        <w:tc>
          <w:tcPr>
            <w:tcW w:w="3120" w:type="dxa"/>
          </w:tcPr>
          <w:p>
            <w:pPr/>
            <w:r>
              <w:t xml:space="preserve">OpenTelemetry + Prometheus/Grafana</w:t>
            </w:r>
          </w:p>
        </w:tc>
        <w:tc>
          <w:tcPr>
            <w:tcW w:w="3120" w:type="dxa"/>
          </w:tcPr>
          <w:p>
            <w:pPr/>
            <w:r>
              <w:t xml:space="preserve">One trace id from client → API → worker → provider; cost and latency per run.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Packaging</w:t>
            </w:r>
          </w:p>
        </w:tc>
        <w:tc>
          <w:tcPr>
            <w:tcW w:w="3120" w:type="dxa"/>
          </w:tcPr>
          <w:p>
            <w:pPr/>
            <w:r>
              <w:t xml:space="preserve">electron-builder + FastAPI sidecar (PyInstaller)</w:t>
            </w:r>
          </w:p>
        </w:tc>
        <w:tc>
          <w:tcPr>
            <w:tcW w:w="3120" w:type="dxa"/>
          </w:tcPr>
          <w:p>
            <w:pPr/>
            <w:r>
              <w:t xml:space="preserve">Ships the client and the local backend together; auto-update for the client.</w:t>
            </w:r>
          </w:p>
        </w:tc>
      </w:tr>
    </w:tbl>
    <w:p>
      <w:pPr>
        <w:pStyle w:val="Heading2"/>
      </w:pPr>
      <w:r>
        <w:t xml:space="preserve">Core data model</w:t>
      </w:r>
    </w:p>
    <w:p>
      <w:pPr/>
      <w:r>
        <w:t xml:space="preserve">The entities the core is built on. </w:t>
      </w:r>
      <w:r>
        <w:rPr>
          <w:rStyle w:val="CodeChar"/>
        </w:rPr>
        <w:t xml:space="preserve">usage_event</w:t>
      </w:r>
      <w:r>
        <w:t xml:space="preserve">, </w:t>
      </w:r>
      <w:r>
        <w:rPr>
          <w:rStyle w:val="CodeChar"/>
        </w:rPr>
        <w:t xml:space="preserve">rate_card</w:t>
      </w:r>
      <w:r>
        <w:t xml:space="preserve">, and </w:t>
      </w:r>
      <w:r>
        <w:rPr>
          <w:rStyle w:val="CodeChar"/>
        </w:rPr>
        <w:t xml:space="preserve">ledger_entry</w:t>
      </w:r>
      <w:r>
        <w:t xml:space="preserve"> are the heart of the moat — fix their shape before building breadth. Every row carries </w:t>
      </w:r>
      <w:r>
        <w:rPr>
          <w:rStyle w:val="CodeChar"/>
        </w:rPr>
        <w:t xml:space="preserve">tenant_id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holds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points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tenant</w:t>
            </w:r>
          </w:p>
        </w:tc>
        <w:tc>
          <w:tcPr>
            <w:tcW w:w="3120" w:type="dxa"/>
          </w:tcPr>
          <w:p>
            <w:pPr/>
            <w:r>
              <w:t xml:space="preserve">Organization account</w:t>
            </w:r>
          </w:p>
        </w:tc>
        <w:tc>
          <w:tcPr>
            <w:tcW w:w="3120" w:type="dxa"/>
          </w:tcPr>
          <w:p>
            <w:pPr/>
            <w:r>
              <w:t xml:space="preserve">Root of isolation and billing.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</w:t>
            </w:r>
          </w:p>
        </w:tc>
        <w:tc>
          <w:tcPr>
            <w:tcW w:w="3120" w:type="dxa"/>
          </w:tcPr>
          <w:p>
            <w:pPr/>
            <w:r>
              <w:t xml:space="preserve">People in a tenant</w:t>
            </w:r>
          </w:p>
        </w:tc>
        <w:tc>
          <w:tcPr>
            <w:tcW w:w="3120" w:type="dxa"/>
          </w:tcPr>
          <w:p>
            <w:pPr/>
            <w:r>
              <w:t xml:space="preserve">Roles for RBAC (expanded in Phase 6).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</w:t>
            </w:r>
          </w:p>
        </w:tc>
        <w:tc>
          <w:tcPr>
            <w:tcW w:w="3120" w:type="dxa"/>
          </w:tcPr>
          <w:p>
            <w:pPr/>
            <w:r>
              <w:t xml:space="preserve">A logical agent ("employee")</w:t>
            </w:r>
          </w:p>
        </w:tc>
        <w:tc>
          <w:tcPr>
            <w:tcW w:w="3120" w:type="dxa"/>
          </w:tcPr>
          <w:p>
            <w:pPr/>
            <w:r>
              <w:t xml:space="preserve">Name, role, status; points at its current version.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agent_version</w:t>
            </w:r>
          </w:p>
        </w:tc>
        <w:tc>
          <w:tcPr>
            <w:tcW w:w="3120" w:type="dxa"/>
          </w:tcPr>
          <w:p>
            <w:pPr/>
            <w:r>
              <w:t xml:space="preserve">Versioned config</w:t>
            </w:r>
          </w:p>
        </w:tc>
        <w:tc>
          <w:tcPr>
            <w:tcW w:w="3120" w:type="dxa"/>
          </w:tcPr>
          <w:p>
            <w:pPr/>
            <w:r>
              <w:t xml:space="preserve">Model, tools, guardrails, knowledge refs, connector bindings. Immutable.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run</w:t>
            </w:r>
          </w:p>
        </w:tc>
        <w:tc>
          <w:tcPr>
            <w:tcW w:w="3120" w:type="dxa"/>
          </w:tcPr>
          <w:p>
            <w:pPr/>
            <w:r>
              <w:t xml:space="preserve">One execution of an agent</w:t>
            </w:r>
          </w:p>
        </w:tc>
        <w:tc>
          <w:tcPr>
            <w:tcW w:w="3120" w:type="dxa"/>
          </w:tcPr>
          <w:p>
            <w:pPr/>
            <w:r>
              <w:t xml:space="preserve">Pins </w:t>
            </w:r>
            <w:r>
              <w:rPr>
                <w:rStyle w:val="CodeChar"/>
              </w:rPr>
              <w:t xml:space="preserve">agent_version</w:t>
            </w:r>
            <w:r>
              <w:t xml:space="preserve">; status, start/end, trace id.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action_log</w:t>
            </w:r>
          </w:p>
        </w:tc>
        <w:tc>
          <w:tcPr>
            <w:tcW w:w="3120" w:type="dxa"/>
          </w:tcPr>
          <w:p>
            <w:pPr/>
            <w:r>
              <w:t xml:space="preserve">Every step and tool call in a run</w:t>
            </w:r>
          </w:p>
        </w:tc>
        <w:tc>
          <w:tcPr>
            <w:tcW w:w="3120" w:type="dxa"/>
          </w:tcPr>
          <w:p>
            <w:pPr/>
            <w:r>
              <w:t xml:space="preserve">Append-only audit trail; refs to inputs/outputs.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usage_event</w:t>
            </w:r>
          </w:p>
        </w:tc>
        <w:tc>
          <w:tcPr>
            <w:tcW w:w="3120" w:type="dxa"/>
          </w:tcPr>
          <w:p>
            <w:pPr/>
            <w:r>
              <w:t xml:space="preserve">One billable unit of work</w:t>
            </w:r>
          </w:p>
        </w:tc>
        <w:tc>
          <w:tcPr>
            <w:tcW w:w="3120" w:type="dxa"/>
          </w:tcPr>
          <w:p>
            <w:pPr/>
            <w:r>
              <w:t xml:space="preserve">Provider, model, tokens/quantity, </w:t>
            </w:r>
            <w:r>
              <w:rPr>
                <w:rStyle w:val="CodeChar"/>
              </w:rPr>
              <w:t xml:space="preserve">agent_id</w:t>
            </w:r>
            <w:r>
              <w:t xml:space="preserve">, </w:t>
            </w:r>
            <w:r>
              <w:rPr>
                <w:rStyle w:val="CodeChar"/>
              </w:rPr>
              <w:t xml:space="preserve">run_id</w:t>
            </w:r>
            <w:r>
              <w:t xml:space="preserve">, idempotency key.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rate_card</w:t>
            </w:r>
          </w:p>
        </w:tc>
        <w:tc>
          <w:tcPr>
            <w:tcW w:w="3120" w:type="dxa"/>
          </w:tcPr>
          <w:p>
            <w:pPr/>
            <w:r>
              <w:t xml:space="preserve">Pricing</w:t>
            </w:r>
          </w:p>
        </w:tc>
        <w:tc>
          <w:tcPr>
            <w:tcW w:w="3120" w:type="dxa"/>
          </w:tcPr>
          <w:p>
            <w:pPr/>
            <w:r>
              <w:t xml:space="preserve">Per-model token prices, per-tool fees, platform fee; effective dates.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ledger_entry</w:t>
            </w:r>
          </w:p>
        </w:tc>
        <w:tc>
          <w:tcPr>
            <w:tcW w:w="3120" w:type="dxa"/>
          </w:tcPr>
          <w:p>
            <w:pPr/>
            <w:r>
              <w:t xml:space="preserve">An immutable money movement</w:t>
            </w:r>
          </w:p>
        </w:tc>
        <w:tc>
          <w:tcPr>
            <w:tcW w:w="3120" w:type="dxa"/>
          </w:tcPr>
          <w:p>
            <w:pPr/>
            <w:r>
              <w:t xml:space="preserve">Debit/credit, amount, currency; refs a usage_event, top-up, or invoice.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wallet</w:t>
            </w:r>
          </w:p>
        </w:tc>
        <w:tc>
          <w:tcPr>
            <w:tcW w:w="3120" w:type="dxa"/>
          </w:tcPr>
          <w:p>
            <w:pPr/>
            <w:r>
              <w:t xml:space="preserve">Tenant balance</w:t>
            </w:r>
          </w:p>
        </w:tc>
        <w:tc>
          <w:tcPr>
            <w:tcW w:w="3120" w:type="dxa"/>
          </w:tcPr>
          <w:p>
            <w:pPr/>
            <w:r>
              <w:t xml:space="preserve">Cached running balance + currency; budgets attached.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budget</w:t>
            </w:r>
          </w:p>
        </w:tc>
        <w:tc>
          <w:tcPr>
            <w:tcW w:w="3120" w:type="dxa"/>
          </w:tcPr>
          <w:p>
            <w:pPr/>
            <w:r>
              <w:t xml:space="preserve">A cap or limit</w:t>
            </w:r>
          </w:p>
        </w:tc>
        <w:tc>
          <w:tcPr>
            <w:tcW w:w="3120" w:type="dxa"/>
          </w:tcPr>
          <w:p>
            <w:pPr/>
            <w:r>
              <w:t xml:space="preserve">Scope (tenant or agent), period, hard/soft, action on breach.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connector</w:t>
            </w:r>
          </w:p>
        </w:tc>
        <w:tc>
          <w:tcPr>
            <w:tcW w:w="3120" w:type="dxa"/>
          </w:tcPr>
          <w:p>
            <w:pPr/>
            <w:r>
              <w:t xml:space="preserve">An integration instance</w:t>
            </w:r>
          </w:p>
        </w:tc>
        <w:tc>
          <w:tcPr>
            <w:tcW w:w="3120" w:type="dxa"/>
          </w:tcPr>
          <w:p>
            <w:pPr/>
            <w:r>
              <w:t xml:space="preserve">Type (Slack, CRM, MCP), granted scopes.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credential</w:t>
            </w:r>
          </w:p>
        </w:tc>
        <w:tc>
          <w:tcPr>
            <w:tcW w:w="3120" w:type="dxa"/>
          </w:tcPr>
          <w:p>
            <w:pPr/>
            <w:r>
              <w:t xml:space="preserve">Encrypted secret for a connector</w:t>
            </w:r>
          </w:p>
        </w:tc>
        <w:tc>
          <w:tcPr>
            <w:tcW w:w="3120" w:type="dxa"/>
          </w:tcPr>
          <w:p>
            <w:pPr/>
            <w:r>
              <w:t xml:space="preserve">Per tenant, encrypted at rest.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invoice</w:t>
            </w:r>
          </w:p>
        </w:tc>
        <w:tc>
          <w:tcPr>
            <w:tcW w:w="3120" w:type="dxa"/>
          </w:tcPr>
          <w:p>
            <w:pPr/>
            <w:r>
              <w:t xml:space="preserve">A billing statement</w:t>
            </w:r>
          </w:p>
        </w:tc>
        <w:tc>
          <w:tcPr>
            <w:tcW w:w="3120" w:type="dxa"/>
          </w:tcPr>
          <w:p>
            <w:pPr/>
            <w:r>
              <w:t xml:space="preserve">Period, line items rolled from the ledger, status.</w:t>
            </w:r>
          </w:p>
        </w:tc>
      </w:tr>
    </w:tbl>
    <w:p>
      <w:pPr>
        <w:pStyle w:val="Heading2"/>
      </w:pPr>
      <w:r>
        <w:t xml:space="preserve">Phase 0 — Foundations</w:t>
      </w:r>
    </w:p>
    <w:p>
      <w:pPr/>
      <w:r>
        <w:rPr>
          <w:b/>
        </w:rPr>
        <w:t xml:space="preserve">Goal:</w:t>
      </w:r>
      <w:r>
        <w:t xml:space="preserve"> a skeleton that proves the hardest unknowns and sets the rails everything else rides on.</w:t>
      </w:r>
    </w:p>
    <w:p>
      <w:pPr/>
      <w:r>
        <w:rPr>
          <w:b/>
        </w:rPr>
        <w:t xml:space="preserve">Build:</w:t>
      </w:r>
    </w:p>
    <w:p>
      <w:pPr>
        <w:pStyle w:val="ListParagraph"/>
        <w:numPr>
          <w:ilvl w:val="0"/>
          <w:numId w:val="3"/>
        </w:numPr>
      </w:pPr>
      <w:r>
        <w:t xml:space="preserve">Monorepo: </w:t>
      </w:r>
      <w:r>
        <w:rPr>
          <w:rStyle w:val="CodeChar"/>
        </w:rPr>
        <w:t xml:space="preserve">backend/</w:t>
      </w:r>
      <w:r>
        <w:t xml:space="preserve"> (FastAPI), </w:t>
      </w:r>
      <w:r>
        <w:rPr>
          <w:rStyle w:val="CodeChar"/>
        </w:rPr>
        <w:t xml:space="preserve">desktop/</w:t>
      </w:r>
      <w:r>
        <w:t xml:space="preserve"> (Electron shell), </w:t>
      </w:r>
      <w:r>
        <w:rPr>
          <w:rStyle w:val="CodeChar"/>
        </w:rPr>
        <w:t xml:space="preserve">shared/</w:t>
      </w:r>
      <w:r>
        <w:t xml:space="preserve"> (OpenAPI-generated client SDK, shared types). CI/CD, linting, test harness, containerized dev.</w:t>
      </w:r>
    </w:p>
    <w:p>
      <w:pPr>
        <w:pStyle w:val="ListParagraph"/>
        <w:numPr>
          <w:ilvl w:val="0"/>
          <w:numId w:val="3"/>
        </w:numPr>
      </w:pPr>
      <w:r>
        <w:t xml:space="preserve">Architecture Decision Records for the decisions in Risks &amp; key decisions (worker engine, usage store, settlement-vs-BYO for v1).</w:t>
      </w:r>
    </w:p>
    <w:p>
      <w:pPr>
        <w:pStyle w:val="ListParagraph"/>
        <w:numPr>
          <w:ilvl w:val="0"/>
          <w:numId w:val="3"/>
        </w:numPr>
      </w:pPr>
      <w:r>
        <w:t xml:space="preserve">Electron ↔ backend contract: client talks to a configurable backend URL; Electron spawns and supervises the FastAPI </w:t>
      </w:r>
      <w:r>
        <w:rPr>
          <w:b/>
        </w:rPr>
        <w:t xml:space="preserve">sidecar</w:t>
      </w:r>
      <w:r>
        <w:t xml:space="preserve"> in local mode; secure IPC (contextIsolation on, no node integration in renderer); auto-update wiring.</w:t>
      </w:r>
    </w:p>
    <w:p>
      <w:pPr>
        <w:pStyle w:val="ListParagraph"/>
        <w:numPr>
          <w:ilvl w:val="0"/>
          <w:numId w:val="3"/>
        </w:numPr>
      </w:pPr>
      <w:r>
        <w:t xml:space="preserve">Auth &amp; multi-tenancy skeleton: tenants, users, API keys; </w:t>
      </w:r>
      <w:r>
        <w:rPr>
          <w:rStyle w:val="CodeChar"/>
        </w:rPr>
        <w:t xml:space="preserve">tenant_id</w:t>
      </w:r>
      <w:r>
        <w:t xml:space="preserve"> threaded through requests; Postgres row-level security switched on from the first migration.</w:t>
      </w:r>
    </w:p>
    <w:p>
      <w:pPr>
        <w:pStyle w:val="ListParagraph"/>
        <w:numPr>
          <w:ilvl w:val="0"/>
          <w:numId w:val="3"/>
        </w:numPr>
      </w:pPr>
      <w:r>
        <w:t xml:space="preserve">Observability baseline: structured logging, OpenTelemetry tracing, metrics — before features, not after.</w:t>
      </w:r>
    </w:p>
    <w:p>
      <w:pPr>
        <w:pStyle w:val="ListParagraph"/>
        <w:numPr>
          <w:ilvl w:val="0"/>
          <w:numId w:val="3"/>
        </w:numPr>
      </w:pPr>
      <w:r>
        <w:t xml:space="preserve">De-risk spikes: run one LLM agent loop; stream tokens to the client over WebSocket; capture token usage from a provider response and write one </w:t>
      </w:r>
      <w:r>
        <w:rPr>
          <w:rStyle w:val="CodeChar"/>
        </w:rPr>
        <w:t xml:space="preserve">usage_event</w:t>
      </w:r>
      <w:r>
        <w:t xml:space="preserve">.</w:t>
      </w:r>
    </w:p>
    <w:p>
      <w:pPr/>
      <w:r>
        <w:rPr>
          <w:b/>
        </w:rPr>
        <w:t xml:space="preserve">Exit criteria:</w:t>
      </w:r>
      <w:r>
        <w:t xml:space="preserve"> a developer can launch the Electron app, which starts the local FastAPI sidecar, authenticates as a tenant, triggers a trivial agent loop, and sees streamed output — with a trace spanning client → API → worker.</w:t>
      </w:r>
    </w:p>
    <w:p>
      <w:pPr/>
      <w:r>
        <w:rPr>
          <w:b/>
        </w:rPr>
        <w:t xml:space="preserve">Key risk:</w:t>
      </w:r>
      <w:r>
        <w:t xml:space="preserve"> over-building the skeleton. Keep it thin; the spikes exist to retire risk, not to be production code.</w:t>
      </w:r>
    </w:p>
    <w:p>
      <w:pPr>
        <w:pStyle w:val="Heading2"/>
      </w:pPr>
      <w:r>
        <w:t xml:space="preserve">Phase 1 — Agent runtime MVP</w:t>
      </w:r>
    </w:p>
    <w:p>
      <w:pPr/>
      <w:r>
        <w:rPr>
          <w:b/>
        </w:rPr>
        <w:t xml:space="preserve">Goal:</w:t>
      </w:r>
      <w:r>
        <w:t xml:space="preserve"> one real agent, end to end — configured, run server-side, fully logged, with metering captured (not yet billed).</w:t>
      </w:r>
    </w:p>
    <w:p>
      <w:pPr/>
      <w:r>
        <w:rPr>
          <w:b/>
        </w:rPr>
        <w:t xml:space="preserve">Build:</w:t>
      </w:r>
    </w:p>
    <w:p>
      <w:pPr>
        <w:pStyle w:val="ListParagraph"/>
        <w:numPr>
          <w:ilvl w:val="0"/>
          <w:numId w:val="4"/>
        </w:numPr>
      </w:pPr>
      <w:r>
        <w:t xml:space="preserve">Agent config schema (</w:t>
      </w:r>
      <w:r>
        <w:rPr>
          <w:rStyle w:val="CodeChar"/>
        </w:rPr>
        <w:t xml:space="preserve">agent</w:t>
      </w:r>
      <w:r>
        <w:t xml:space="preserve"> + </w:t>
      </w:r>
      <w:r>
        <w:rPr>
          <w:rStyle w:val="CodeChar"/>
        </w:rPr>
        <w:t xml:space="preserve">agent_version</w:t>
      </w:r>
      <w:r>
        <w:t xml:space="preserve">): role, model, system prompt, tools, guardrails, knowledge refs. Versioned and validated.</w:t>
      </w:r>
    </w:p>
    <w:p>
      <w:pPr>
        <w:pStyle w:val="ListParagraph"/>
        <w:numPr>
          <w:ilvl w:val="0"/>
          <w:numId w:val="4"/>
        </w:numPr>
      </w:pPr>
      <w:r>
        <w:t xml:space="preserve">Runtime kernel: agent lifecycle (create → start → pause → stop → kill); state and memory persistence; execution as a LangGraph graph with checkpointing.</w:t>
      </w:r>
    </w:p>
    <w:p>
      <w:pPr>
        <w:pStyle w:val="ListParagraph"/>
        <w:numPr>
          <w:ilvl w:val="0"/>
          <w:numId w:val="4"/>
        </w:numPr>
      </w:pPr>
      <w:r>
        <w:t xml:space="preserve">Job queue + stateless workers (the chosen execution engine): runs are enqueued, executed off the request path, and survive disconnects and deploys.</w:t>
      </w:r>
    </w:p>
    <w:p>
      <w:pPr>
        <w:pStyle w:val="ListParagraph"/>
        <w:numPr>
          <w:ilvl w:val="0"/>
          <w:numId w:val="4"/>
        </w:numPr>
      </w:pPr>
      <w:r>
        <w:t xml:space="preserve">Action logging: every step, tool call, and model call appended to </w:t>
      </w:r>
      <w:r>
        <w:rPr>
          <w:rStyle w:val="CodeChar"/>
        </w:rPr>
        <w:t xml:space="preserve">action_log</w:t>
      </w:r>
      <w:r>
        <w:t xml:space="preserve"> with the trace id.</w:t>
      </w:r>
    </w:p>
    <w:p>
      <w:pPr>
        <w:pStyle w:val="ListParagraph"/>
        <w:numPr>
          <w:ilvl w:val="0"/>
          <w:numId w:val="4"/>
        </w:numPr>
      </w:pPr>
      <w:r>
        <w:t xml:space="preserve">Metering hooks from day one: emit a </w:t>
      </w:r>
      <w:r>
        <w:rPr>
          <w:rStyle w:val="CodeChar"/>
        </w:rPr>
        <w:t xml:space="preserve">usage_event</w:t>
      </w:r>
      <w:r>
        <w:t xml:space="preserve"> per model and tool call with an idempotency key — written to a store, not yet rated.</w:t>
      </w:r>
    </w:p>
    <w:p>
      <w:pPr>
        <w:pStyle w:val="ListParagraph"/>
        <w:numPr>
          <w:ilvl w:val="0"/>
          <w:numId w:val="4"/>
        </w:numPr>
      </w:pPr>
      <w:r>
        <w:t xml:space="preserve">One template end to end (Support Desk is a good first): config → run → streamed output → complete audit log.</w:t>
      </w:r>
    </w:p>
    <w:p>
      <w:pPr>
        <w:pStyle w:val="ListParagraph"/>
        <w:numPr>
          <w:ilvl w:val="0"/>
          <w:numId w:val="4"/>
        </w:numPr>
      </w:pPr>
      <w:r>
        <w:t xml:space="preserve">Backend API surface for the client: agents CRUD, trigger run, stream run events over WebSocket, read logs.</w:t>
      </w:r>
    </w:p>
    <w:p>
      <w:pPr/>
      <w:r>
        <w:rPr>
          <w:b/>
        </w:rPr>
        <w:t xml:space="preserve">Exit criteria:</w:t>
      </w:r>
      <w:r>
        <w:t xml:space="preserve"> create a Support Desk agent from config, run it against a sample task, watch it stream, and inspect a complete action log and the usage events it generated — all server-side, resumable across a worker restart.</w:t>
      </w:r>
    </w:p>
    <w:p>
      <w:pPr/>
      <w:r>
        <w:rPr>
          <w:b/>
        </w:rPr>
        <w:t xml:space="preserve">Key risk:</w:t>
      </w:r>
      <w:r>
        <w:t xml:space="preserve"> agent reliability and guardrails. Invest early in step-level logging and safe tool execution; a runtime you can't observe can't be debugged or trusted.</w:t>
      </w:r>
    </w:p>
    <w:p>
      <w:pPr>
        <w:pStyle w:val="Heading2"/>
      </w:pPr>
      <w:r>
        <w:t xml:space="preserve">Phase 2 — Connector framework</w:t>
      </w:r>
    </w:p>
    <w:p>
      <w:pPr/>
      <w:r>
        <w:rPr>
          <w:b/>
        </w:rPr>
        <w:t xml:space="preserve">Goal:</w:t>
      </w:r>
      <w:r>
        <w:t xml:space="preserve"> agents that safely touch real systems, with permissions and credentials as first-class, scoped objects.</w:t>
      </w:r>
    </w:p>
    <w:p>
      <w:pPr/>
      <w:r>
        <w:rPr>
          <w:b/>
        </w:rPr>
        <w:t xml:space="preserve">Build:</w:t>
      </w:r>
    </w:p>
    <w:p>
      <w:pPr>
        <w:pStyle w:val="ListParagraph"/>
        <w:numPr>
          <w:ilvl w:val="0"/>
          <w:numId w:val="5"/>
        </w:numPr>
      </w:pPr>
      <w:r>
        <w:t xml:space="preserve">Capability abstraction: typed interfaces for messaging, data, and web (voice deferred to Phase 5). Agents declare the capabilities they need; the runtime grants only those.</w:t>
      </w:r>
    </w:p>
    <w:p>
      <w:pPr>
        <w:pStyle w:val="ListParagraph"/>
        <w:numPr>
          <w:ilvl w:val="0"/>
          <w:numId w:val="5"/>
        </w:numPr>
      </w:pPr>
      <w:r>
        <w:t xml:space="preserve">Connector SDK + registry: a uniform way to define, register, and discover connectors, with MCP as the primary protocol so the existing tool ecosystem is reusable.</w:t>
      </w:r>
    </w:p>
    <w:p>
      <w:pPr>
        <w:pStyle w:val="ListParagraph"/>
        <w:numPr>
          <w:ilvl w:val="0"/>
          <w:numId w:val="5"/>
        </w:numPr>
      </w:pPr>
      <w:r>
        <w:t xml:space="preserve">Credential vault: OAuth and API-key flows, secrets encrypted per tenant, short-lived tokens where possible.</w:t>
      </w:r>
    </w:p>
    <w:p>
      <w:pPr>
        <w:pStyle w:val="ListParagraph"/>
        <w:numPr>
          <w:ilvl w:val="0"/>
          <w:numId w:val="5"/>
        </w:numPr>
      </w:pPr>
      <w:r>
        <w:t xml:space="preserve">Permission scoping enforced by the runtime: an agent can only reach the connectors and scopes its </w:t>
      </w:r>
      <w:r>
        <w:rPr>
          <w:rStyle w:val="CodeChar"/>
        </w:rPr>
        <w:t xml:space="preserve">agent_version</w:t>
      </w:r>
      <w:r>
        <w:t xml:space="preserve"> grants — checked at call time, logged on every use.</w:t>
      </w:r>
    </w:p>
    <w:p>
      <w:pPr>
        <w:pStyle w:val="ListParagraph"/>
        <w:numPr>
          <w:ilvl w:val="0"/>
          <w:numId w:val="5"/>
        </w:numPr>
      </w:pPr>
      <w:r>
        <w:t xml:space="preserve">Two or three real connectors (e.g. Slack, a CRM/HTTP, email) plus a generic MCP/HTTP connector as the escape hatch.</w:t>
      </w:r>
    </w:p>
    <w:p>
      <w:pPr/>
      <w:r>
        <w:rPr>
          <w:b/>
        </w:rPr>
        <w:t xml:space="preserve">Exit criteria:</w:t>
      </w:r>
      <w:r>
        <w:t xml:space="preserve"> a Support Desk agent reads from and posts to Slack and a CRM using scoped, tenant-isolated credentials; an attempt to use an ungranted scope is denied and logged.</w:t>
      </w:r>
    </w:p>
    <w:p>
      <w:pPr/>
      <w:r>
        <w:rPr>
          <w:b/>
        </w:rPr>
        <w:t xml:space="preserve">Key risk:</w:t>
      </w:r>
      <w:r>
        <w:t xml:space="preserve"> the security surface. Credential handling and scope enforcement are where a breach would be worst — threat-model this phase specifically, and keep every connector call attributable in the audit log.</w:t>
      </w:r>
    </w:p>
    <w:p>
      <w:pPr>
        <w:pStyle w:val="Heading2"/>
      </w:pPr>
      <w:r>
        <w:t xml:space="preserve">Phase 3 — Metering, rating &amp; budgets</w:t>
      </w:r>
    </w:p>
    <w:p>
      <w:pPr/>
      <w:r>
        <w:rPr>
          <w:b/>
        </w:rPr>
        <w:t xml:space="preserve">Goal:</w:t>
      </w:r>
      <w:r>
        <w:t xml:space="preserve"> the control story — accurate per-agent cost and real-time budgets — on your own keys, before taking on payments. This is the start of the moat.</w:t>
      </w:r>
    </w:p>
    <w:p>
      <w:pPr/>
      <w:r>
        <w:rPr>
          <w:b/>
        </w:rPr>
        <w:t xml:space="preserve">Build:</w:t>
      </w:r>
    </w:p>
    <w:p>
      <w:pPr>
        <w:pStyle w:val="ListParagraph"/>
        <w:numPr>
          <w:ilvl w:val="0"/>
          <w:numId w:val="6"/>
        </w:numPr>
      </w:pPr>
      <w:r>
        <w:t xml:space="preserve">Metering pipeline: usage events off the bus, normalized and enriched (provider, model, tokens, tool, agent, run, tenant), landed in the usage store.</w:t>
      </w:r>
    </w:p>
    <w:p>
      <w:pPr>
        <w:pStyle w:val="ListParagraph"/>
        <w:numPr>
          <w:ilvl w:val="0"/>
          <w:numId w:val="6"/>
        </w:numPr>
      </w:pPr>
      <w:r>
        <w:t xml:space="preserve">Rating engine: price each event against the active </w:t>
      </w:r>
      <w:r>
        <w:rPr>
          <w:rStyle w:val="CodeChar"/>
        </w:rPr>
        <w:t xml:space="preserve">rate_card</w:t>
      </w:r>
      <w:r>
        <w:t xml:space="preserve"> (per-model token prices, per-tool fees, platform fee), versioned with effective dates. This is the telecom rating pattern.</w:t>
      </w:r>
    </w:p>
    <w:p>
      <w:pPr>
        <w:pStyle w:val="ListParagraph"/>
        <w:numPr>
          <w:ilvl w:val="0"/>
          <w:numId w:val="6"/>
        </w:numPr>
      </w:pPr>
      <w:r>
        <w:t xml:space="preserve">Cost ledger: append-only </w:t>
      </w:r>
      <w:r>
        <w:rPr>
          <w:rStyle w:val="CodeChar"/>
        </w:rPr>
        <w:t xml:space="preserve">ledger_entry</w:t>
      </w:r>
      <w:r>
        <w:t xml:space="preserve"> per rated event, attributed to agent and tenant; wallet balance as a cached projection.</w:t>
      </w:r>
    </w:p>
    <w:p>
      <w:pPr>
        <w:pStyle w:val="ListParagraph"/>
        <w:numPr>
          <w:ilvl w:val="0"/>
          <w:numId w:val="6"/>
        </w:numPr>
      </w:pPr>
      <w:r>
        <w:t xml:space="preserve">Real-time budgets and caps: balance and budget checked before each billable action; soft caps alert, hard caps throttle or stop the agent (online credit control).</w:t>
      </w:r>
    </w:p>
    <w:p>
      <w:pPr>
        <w:pStyle w:val="ListParagraph"/>
        <w:numPr>
          <w:ilvl w:val="0"/>
          <w:numId w:val="6"/>
        </w:numPr>
      </w:pPr>
      <w:r>
        <w:t xml:space="preserve">Spend APIs for the client: cost per agent, per run, per period; the data behind the single unified view.</w:t>
      </w:r>
    </w:p>
    <w:p>
      <w:pPr>
        <w:pStyle w:val="ListParagraph"/>
        <w:numPr>
          <w:ilvl w:val="0"/>
          <w:numId w:val="6"/>
        </w:numPr>
      </w:pPr>
      <w:r>
        <w:t xml:space="preserve">Alerts and simple anomaly detection on spend spikes and runaway loops.</w:t>
      </w:r>
    </w:p>
    <w:p>
      <w:pPr/>
      <w:r>
        <w:rPr>
          <w:b/>
        </w:rPr>
        <w:t xml:space="preserve">Exit criteria:</w:t>
      </w:r>
      <w:r>
        <w:t xml:space="preserve"> run several agents and see accurate, per-agent rated spend within a small error of the providers' own numbers; set a hard cap and watch an agent stop at the limit.</w:t>
      </w:r>
    </w:p>
    <w:p>
      <w:pPr/>
      <w:r>
        <w:rPr>
          <w:b/>
        </w:rPr>
        <w:t xml:space="preserve">Key risk:</w:t>
      </w:r>
      <w:r>
        <w:t xml:space="preserve"> metering accuracy and double-counting. Lock in idempotency and exactly-once rating here — every later phase trusts these numbers.</w:t>
      </w:r>
    </w:p>
    <w:p>
      <w:pPr>
        <w:pStyle w:val="Heading2"/>
      </w:pPr>
      <w:r>
        <w:t xml:space="preserve">Phase 4 — Settlement &amp; payments</w:t>
      </w:r>
    </w:p>
    <w:p>
      <w:pPr/>
      <w:r>
        <w:rPr>
          <w:b/>
        </w:rPr>
        <w:t xml:space="preserve">Goal:</w:t>
      </w:r>
      <w:r>
        <w:t xml:space="preserve"> move into the payment path — one balance in, one invoice out, across every agent. This is where "single point to pay your agents" becomes real and where the margin is.</w:t>
      </w:r>
    </w:p>
    <w:p>
      <w:pPr/>
      <w:r>
        <w:rPr>
          <w:b/>
        </w:rPr>
        <w:t xml:space="preserve">Build:</w:t>
      </w:r>
    </w:p>
    <w:p>
      <w:pPr>
        <w:pStyle w:val="ListParagraph"/>
        <w:numPr>
          <w:ilvl w:val="0"/>
          <w:numId w:val="7"/>
        </w:numPr>
      </w:pPr>
      <w:r>
        <w:t xml:space="preserve">Prepaid wallet: load a balance, reserve/hold against in-flight work, debit on rated usage, all through the append-only ledger.</w:t>
      </w:r>
    </w:p>
    <w:p>
      <w:pPr>
        <w:pStyle w:val="ListParagraph"/>
        <w:numPr>
          <w:ilvl w:val="0"/>
          <w:numId w:val="7"/>
        </w:numPr>
      </w:pPr>
      <w:r>
        <w:t xml:space="preserve">Stripe integration: top-ups, saved payment methods, and invoicing; webhooks reconciled into the ledger.</w:t>
      </w:r>
    </w:p>
    <w:p>
      <w:pPr>
        <w:pStyle w:val="ListParagraph"/>
        <w:numPr>
          <w:ilvl w:val="0"/>
          <w:numId w:val="7"/>
        </w:numPr>
      </w:pPr>
      <w:r>
        <w:t xml:space="preserve">Provider pass-through + markup: the rate card carries cost (what the provider charges) and price (what the tenant pays); margin is an accounted ledger quantity, not a guess.</w:t>
      </w:r>
    </w:p>
    <w:p>
      <w:pPr>
        <w:pStyle w:val="ListParagraph"/>
        <w:numPr>
          <w:ilvl w:val="0"/>
          <w:numId w:val="7"/>
        </w:numPr>
      </w:pPr>
      <w:r>
        <w:t xml:space="preserve">Invoicing engine: one statement per tenant across all agents, line items rolled from the ledger; usage-based and/or platform-fee billing.</w:t>
      </w:r>
    </w:p>
    <w:p>
      <w:pPr>
        <w:pStyle w:val="ListParagraph"/>
        <w:numPr>
          <w:ilvl w:val="0"/>
          <w:numId w:val="7"/>
        </w:numPr>
      </w:pPr>
      <w:r>
        <w:t xml:space="preserve">Reconciliation: compare metered/rated spend against providers' actual invoices; surface drift so margin never silently leaks.</w:t>
      </w:r>
    </w:p>
    <w:p>
      <w:pPr/>
      <w:r>
        <w:rPr>
          <w:b/>
        </w:rPr>
        <w:t xml:space="preserve">Exit criteria:</w:t>
      </w:r>
      <w:r>
        <w:t xml:space="preserve"> a tenant tops up once, runs a mixed fleet, and receives a single itemized invoice whose totals reconcile against provider bills within tolerance; a depleted balance stops further billable work.</w:t>
      </w:r>
    </w:p>
    <w:p>
      <w:pPr/>
      <w:r>
        <w:rPr>
          <w:b/>
        </w:rPr>
        <w:t xml:space="preserve">Key risk:</w:t>
      </w:r>
      <w:r>
        <w:t xml:space="preserve"> financial correctness and float. Being the payer means money-movement bugs are real losses — the append-only ledger, reconciliation, and tested edge cases (refunds, failed top-ups, disputes) are non-negotiable before onboarding paying tenants.</w:t>
      </w:r>
    </w:p>
    <w:p>
      <w:pPr>
        <w:pStyle w:val="Heading2"/>
      </w:pPr>
      <w:r>
        <w:t xml:space="preserve">Phase 5 — Scale &amp; reliability</w:t>
      </w:r>
    </w:p>
    <w:p>
      <w:pPr/>
      <w:r>
        <w:rPr>
          <w:b/>
        </w:rPr>
        <w:t xml:space="preserve">Goal:</w:t>
      </w:r>
      <w:r>
        <w:t xml:space="preserve"> hold accuracy and uptime as agents, tenants, and event volume grow by orders of magnitude.</w:t>
      </w:r>
    </w:p>
    <w:p>
      <w:pPr/>
      <w:r>
        <w:rPr>
          <w:b/>
        </w:rPr>
        <w:t xml:space="preserve">Build:</w:t>
      </w:r>
    </w:p>
    <w:p>
      <w:pPr>
        <w:pStyle w:val="ListParagraph"/>
        <w:numPr>
          <w:ilvl w:val="0"/>
          <w:numId w:val="8"/>
        </w:numPr>
      </w:pPr>
      <w:r>
        <w:t xml:space="preserve">Horizontal worker scaling: partition the run queue per tenant, add backpressure and fair scheduling so one noisy tenant can't starve others.</w:t>
      </w:r>
    </w:p>
    <w:p>
      <w:pPr>
        <w:pStyle w:val="ListParagraph"/>
        <w:numPr>
          <w:ilvl w:val="0"/>
          <w:numId w:val="8"/>
        </w:numPr>
      </w:pPr>
      <w:r>
        <w:t xml:space="preserve">High-throughput metering ingestion: move the event bus to Kafka; stream-process usage events with exactly-once semantics — the same discipline as a high-QPS telemetry pipeline.</w:t>
      </w:r>
    </w:p>
    <w:p>
      <w:pPr>
        <w:pStyle w:val="ListParagraph"/>
        <w:numPr>
          <w:ilvl w:val="0"/>
          <w:numId w:val="8"/>
        </w:numPr>
      </w:pPr>
      <w:r>
        <w:t xml:space="preserve">Multi-provider routing and failover: a provider-agnostic rate card and model router with cost-aware selection and failover when a provider degrades.</w:t>
      </w:r>
    </w:p>
    <w:p>
      <w:pPr>
        <w:pStyle w:val="ListParagraph"/>
        <w:numPr>
          <w:ilvl w:val="0"/>
          <w:numId w:val="8"/>
        </w:numPr>
      </w:pPr>
      <w:r>
        <w:t xml:space="preserve">Caching and idempotency hardening across rating and ledger writes; replay tooling for the event stream.</w:t>
      </w:r>
    </w:p>
    <w:p>
      <w:pPr>
        <w:pStyle w:val="ListParagraph"/>
        <w:numPr>
          <w:ilvl w:val="0"/>
          <w:numId w:val="8"/>
        </w:numPr>
      </w:pPr>
      <w:r>
        <w:t xml:space="preserve">Voice/telephony capability subsystem (low-latency) for the Receptionist — heavier infra, added once demand justifies it.</w:t>
      </w:r>
    </w:p>
    <w:p>
      <w:pPr>
        <w:pStyle w:val="ListParagraph"/>
        <w:numPr>
          <w:ilvl w:val="0"/>
          <w:numId w:val="8"/>
        </w:numPr>
      </w:pPr>
      <w:r>
        <w:t xml:space="preserve">HA and DR: read replicas, usage-store sharding, backups, tested restore, defined RPO/RTO.</w:t>
      </w:r>
    </w:p>
    <w:p>
      <w:pPr/>
      <w:r>
        <w:rPr>
          <w:b/>
        </w:rPr>
        <w:t xml:space="preserve">Exit criteria:</w:t>
      </w:r>
      <w:r>
        <w:t xml:space="preserve"> a load test at target scale sustains correct, exactly-once metering and within-SLA run latency; killing a worker or failing a provider causes no lost or double-counted usage.</w:t>
      </w:r>
    </w:p>
    <w:p>
      <w:pPr/>
      <w:r>
        <w:rPr>
          <w:b/>
        </w:rPr>
        <w:t xml:space="preserve">Key risk:</w:t>
      </w:r>
      <w:r>
        <w:t xml:space="preserve"> correctness under load. Exactly-once metering is easy to break at scale; prove it with chaos and replay testing, not by hoping.</w:t>
      </w:r>
    </w:p>
    <w:p>
      <w:pPr>
        <w:pStyle w:val="Heading2"/>
      </w:pPr>
      <w:r>
        <w:t xml:space="preserve">Phase 6 — Enterprise &amp; hardening</w:t>
      </w:r>
    </w:p>
    <w:p>
      <w:pPr/>
      <w:r>
        <w:rPr>
          <w:b/>
        </w:rPr>
        <w:t xml:space="preserve">Goal:</w:t>
      </w:r>
      <w:r>
        <w:t xml:space="preserve"> clear the trust and expansion bars that a product handling money, credentials, and a whole agent fleet has to meet.</w:t>
      </w:r>
    </w:p>
    <w:p>
      <w:pPr/>
      <w:r>
        <w:rPr>
          <w:b/>
        </w:rPr>
        <w:t xml:space="preserve">Build:</w:t>
      </w:r>
    </w:p>
    <w:p>
      <w:pPr>
        <w:pStyle w:val="ListParagraph"/>
        <w:numPr>
          <w:ilvl w:val="0"/>
          <w:numId w:val="9"/>
        </w:numPr>
      </w:pPr>
      <w:r>
        <w:t xml:space="preserve">Compliance path: SOC 2 controls, full audit logging, data-retention and residency policies, encryption and key rotation.</w:t>
      </w:r>
    </w:p>
    <w:p>
      <w:pPr>
        <w:pStyle w:val="ListParagraph"/>
        <w:numPr>
          <w:ilvl w:val="0"/>
          <w:numId w:val="9"/>
        </w:numPr>
      </w:pPr>
      <w:r>
        <w:t xml:space="preserve">RBAC + SSO/SAML: granular roles over agents, spend, and connectors; enterprise identity.</w:t>
      </w:r>
    </w:p>
    <w:p>
      <w:pPr>
        <w:pStyle w:val="ListParagraph"/>
        <w:numPr>
          <w:ilvl w:val="0"/>
          <w:numId w:val="9"/>
        </w:numPr>
      </w:pPr>
      <w:r>
        <w:t xml:space="preserve">Fraud and abuse controls: velocity limits, anomaly-driven holds, and prepaid-abuse protection — essential now that you sit in the payment path.</w:t>
      </w:r>
    </w:p>
    <w:p>
      <w:pPr>
        <w:pStyle w:val="ListParagraph"/>
        <w:numPr>
          <w:ilvl w:val="0"/>
          <w:numId w:val="9"/>
        </w:numPr>
      </w:pPr>
      <w:r>
        <w:t xml:space="preserve">Marketplace: share and install agent templates and connectors across tenants — an expansion and network-effect lever.</w:t>
      </w:r>
    </w:p>
    <w:p>
      <w:pPr>
        <w:pStyle w:val="ListParagraph"/>
        <w:numPr>
          <w:ilvl w:val="0"/>
          <w:numId w:val="9"/>
        </w:numPr>
      </w:pPr>
      <w:r>
        <w:t xml:space="preserve">Self-hosted / on-prem packaging: mature the local FastAPI mode into a supported single-tenant deployment for regulated buyers.</w:t>
      </w:r>
    </w:p>
    <w:p>
      <w:pPr/>
      <w:r>
        <w:rPr>
          <w:b/>
        </w:rPr>
        <w:t xml:space="preserve">Exit criteria:</w:t>
      </w:r>
      <w:r>
        <w:t xml:space="preserve"> an enterprise tenant onboards with SSO and scoped roles, passes a security review, and runs on isolated or self-hosted infrastructure with full audit export.</w:t>
      </w:r>
    </w:p>
    <w:p>
      <w:pPr/>
      <w:r>
        <w:rPr>
          <w:b/>
        </w:rPr>
        <w:t xml:space="preserve">Key risk:</w:t>
      </w:r>
      <w:r>
        <w:t xml:space="preserve"> scope creep away from the wedge. Enterprise features are necessary to move up-market, but sequence them against real demand so they don't starve the core product.</w:t>
      </w:r>
    </w:p>
    <w:p>
      <w:pPr>
        <w:pStyle w:val="Heading2"/>
      </w:pPr>
      <w:r>
        <w:t xml:space="preserve">Phase roadmap &amp; sequencing</w:t>
      </w:r>
    </w:p>
    <w:p>
      <w:pPr/>
      <w:r>
        <w:t xml:space="preserve">The sequence ships a usable, connected agent by Phase 2 and the defensible core by Phase 4, with metering instrumented from Phase 1.</w:t>
      </w:r>
    </w:p>
    <w:p>
      <w:pPr/>
      <w:r>
        <w:drawing>
          <wp:inline distT="0" distB="0" distL="0" distR="0">
            <wp:extent cx="5486400" cy="1673678"/>
            <wp:docPr id="2" name="image2" descr="phase roadmap · 0 to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hase roadmap · 0 to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phase roadmap · 0 to 6</w:t>
      </w:r>
    </w:p>
    <w:p>
      <w:pPr/>
      <w:r>
        <w:t xml:space="preserve">Phases 0–2 stand up a working, connected agent; Phase 3 adds metering and control on your own keys; Phase 4 crosses the gate into the payment path; Phases 5–6 scale and harden. Phases are ordered, not dated — attach calendar dates once team size is known.</w:t>
      </w:r>
    </w:p>
    <w:p>
      <w:pPr>
        <w:pStyle w:val="Heading2"/>
      </w:pPr>
      <w:r>
        <w:t xml:space="preserve">Cross-cutting risks &amp; key decisions</w:t>
      </w:r>
    </w:p>
    <w:p>
      <w:pPr/>
      <w:r>
        <w:t xml:space="preserve">The open decisions to settle deliberately (as ADRs in Phase 0), framed as tradeoffs rather than blockers: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Settlement vs. BYO-keys for first paying users.</w:t>
      </w:r>
      <w:r>
        <w:t xml:space="preserve"> The plan ships metering + control on your own keys in Phase 3, then settlement in Phase 4. Shipping a bring-your-own-keys tier for revenue before full settlement de-risks the hardest part while still proving the control story. Decide how long you stay BYO before entering the payment path.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Execution engine: Temporal vs. a lighter queue.</w:t>
      </w:r>
      <w:r>
        <w:t xml:space="preserve"> Temporal buys durable, resumable agent workflows (worth it for long-running agents) at the cost of operational weight. Celery/Arq is faster to stand up. Pick in Phase 0; it is expensive to swap after Phase 1.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Usage store: ClickHouse vs. Timescale.</w:t>
      </w:r>
      <w:r>
        <w:t xml:space="preserve"> ClickHouse scales analytics further; Timescale keeps you in the Postgres world and simpler early. The metering volume you expect decides it.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Build vs. orchestrate the agents.</w:t>
      </w:r>
      <w:r>
        <w:t xml:space="preserve"> Building the native runtime (this plan) owns the whole stack and the margin. Alternatively, sit on top of existing agents as the governance + billing layer — faster to the wedge, less control. A hybrid is viable: orchestrate where it is faster, build native where margin justifies it.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Desktop-first vs. web-first client.</w:t>
      </w:r>
      <w:r>
        <w:t xml:space="preserve"> Electron fits a management console and the self-hosted story, but the product is inherently cloud; keep the UI a thin client over the versioned API so a web build is cheap later if the market pulls that way.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Where agents execute in self-hosted mode.</w:t>
      </w:r>
      <w:r>
        <w:t xml:space="preserve"> The local-sidecar mode is clean for dev and single-tenant, but 24/7 agents on a user's laptop is not viable — self-hosted means their server, not their desktop. Keep that boundary explicit.</w:t>
      </w:r>
    </w:p>
    <w:p>
      <w:pPr/>
      <w:r>
        <w:t xml:space="preserve">The through-line: protect the metering/settlement core. Every decision that touches accounting accuracy, idempotency, or tenant isolation is load-bearing; most other choices are reversible.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AgentOS — Development Plan</dc:title>
  <dc:description>Claude Docs node/e20ed2f4-058f@15 docx-w6</dc:description>
  <cp:revision>15</cp:revision>
</cp:coreProperties>
</file>