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17365D"/>
          <w:sz w:val="60"/>
        </w:rPr>
        <w:t>AI STORY TUTOR</w:t>
      </w:r>
    </w:p>
    <w:p>
      <w:pPr>
        <w:jc w:val="center"/>
      </w:pPr>
      <w:r>
        <w:rPr>
          <w:color w:val="2E75B6"/>
          <w:sz w:val="36"/>
        </w:rPr>
        <w:t>MVP Software Architecture</w:t>
      </w:r>
    </w:p>
    <w:p>
      <w:pPr>
        <w:jc w:val="center"/>
      </w:pPr>
      <w:r>
        <w:rPr>
          <w:i/>
          <w:color w:val="5B6573"/>
          <w:sz w:val="24"/>
        </w:rPr>
        <w:t>Offline-first learning agent for Indian Government Exam preparation</w:t>
      </w:r>
    </w:p>
    <w:p>
      <w:pPr>
        <w:spacing w:after="1600"/>
      </w:pP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D9EAF7"/>
            <w:vAlign w:val="center"/>
          </w:tcPr>
          <w:p>
            <w:r>
              <w:rPr>
                <w:b/>
                <w:color w:val="17365D"/>
                <w:sz w:val="18"/>
              </w:rPr>
              <w:t>Document</w:t>
            </w:r>
          </w:p>
        </w:tc>
        <w:tc>
          <w:tcPr>
            <w:tcW w:type="dxa" w:w="7160"/>
            <w:shd w:fill="D9EAF7"/>
            <w:vAlign w:val="center"/>
          </w:tcPr>
          <w:p>
            <w:r>
              <w:rPr>
                <w:b/>
                <w:color w:val="17365D"/>
                <w:sz w:val="18"/>
              </w:rPr>
              <w:t>Value</w:t>
            </w:r>
          </w:p>
        </w:tc>
      </w:tr>
      <w:tr>
        <w:tc>
          <w:tcPr>
            <w:tcW w:type="dxa" w:w="2200"/>
            <w:vAlign w:val="top"/>
          </w:tcPr>
          <w:p>
            <w:pPr>
              <w:spacing w:after="60"/>
            </w:pPr>
            <w:r>
              <w:rPr>
                <w:sz w:val="17"/>
              </w:rPr>
              <w:t>Audience</w:t>
            </w:r>
          </w:p>
        </w:tc>
        <w:tc>
          <w:tcPr>
            <w:tcW w:type="dxa" w:w="7160"/>
            <w:vAlign w:val="top"/>
          </w:tcPr>
          <w:p>
            <w:pPr>
              <w:spacing w:after="60"/>
            </w:pPr>
            <w:r>
              <w:rPr>
                <w:sz w:val="17"/>
              </w:rPr>
              <w:t>Product owner and implementation team</w:t>
            </w:r>
          </w:p>
        </w:tc>
      </w:tr>
      <w:tr>
        <w:tc>
          <w:tcPr>
            <w:tcW w:type="dxa" w:w="2200"/>
            <w:vAlign w:val="top"/>
          </w:tcPr>
          <w:p>
            <w:pPr>
              <w:spacing w:after="60"/>
            </w:pPr>
            <w:r>
              <w:rPr>
                <w:sz w:val="17"/>
              </w:rPr>
              <w:t>Decision status</w:t>
            </w:r>
          </w:p>
        </w:tc>
        <w:tc>
          <w:tcPr>
            <w:tcW w:type="dxa" w:w="7160"/>
            <w:vAlign w:val="top"/>
          </w:tcPr>
          <w:p>
            <w:pPr>
              <w:spacing w:after="60"/>
            </w:pPr>
            <w:r>
              <w:rPr>
                <w:sz w:val="17"/>
              </w:rPr>
              <w:t>Recommended two-machine MVP baseline</w:t>
            </w:r>
          </w:p>
        </w:tc>
      </w:tr>
      <w:tr>
        <w:tc>
          <w:tcPr>
            <w:tcW w:type="dxa" w:w="2200"/>
            <w:vAlign w:val="top"/>
          </w:tcPr>
          <w:p>
            <w:pPr>
              <w:spacing w:after="60"/>
            </w:pPr>
            <w:r>
              <w:rPr>
                <w:sz w:val="17"/>
              </w:rPr>
              <w:t>Application host</w:t>
            </w:r>
          </w:p>
        </w:tc>
        <w:tc>
          <w:tcPr>
            <w:tcW w:type="dxa" w:w="7160"/>
            <w:vAlign w:val="top"/>
          </w:tcPr>
          <w:p>
            <w:pPr>
              <w:spacing w:after="60"/>
            </w:pPr>
            <w:r>
              <w:rPr>
                <w:sz w:val="17"/>
              </w:rPr>
              <w:t>Dell laptop: development, frontend, backend, retrieval, database, and project runtime</w:t>
            </w:r>
          </w:p>
        </w:tc>
      </w:tr>
      <w:tr>
        <w:tc>
          <w:tcPr>
            <w:tcW w:type="dxa" w:w="2200"/>
            <w:vAlign w:val="top"/>
          </w:tcPr>
          <w:p>
            <w:pPr>
              <w:spacing w:after="60"/>
            </w:pPr>
            <w:r>
              <w:rPr>
                <w:sz w:val="17"/>
              </w:rPr>
              <w:t>Model host</w:t>
            </w:r>
          </w:p>
        </w:tc>
        <w:tc>
          <w:tcPr>
            <w:tcW w:type="dxa" w:w="7160"/>
            <w:vAlign w:val="top"/>
          </w:tcPr>
          <w:p>
            <w:pPr>
              <w:spacing w:after="60"/>
            </w:pPr>
            <w:r>
              <w:rPr>
                <w:sz w:val="17"/>
              </w:rPr>
              <w:t>PC: Ryzen 9 9900X, 32 GB RAM, desktop RTX 5070 Ti with 16 GB VRAM; local-model services only</w:t>
            </w:r>
          </w:p>
        </w:tc>
      </w:tr>
      <w:tr>
        <w:tc>
          <w:tcPr>
            <w:tcW w:type="dxa" w:w="2200"/>
            <w:vAlign w:val="top"/>
          </w:tcPr>
          <w:p>
            <w:pPr>
              <w:spacing w:after="60"/>
            </w:pPr>
            <w:r>
              <w:rPr>
                <w:sz w:val="17"/>
              </w:rPr>
              <w:t>Primary objective</w:t>
            </w:r>
          </w:p>
        </w:tc>
        <w:tc>
          <w:tcPr>
            <w:tcW w:type="dxa" w:w="7160"/>
            <w:vAlign w:val="top"/>
          </w:tcPr>
          <w:p>
            <w:pPr>
              <w:spacing w:after="60"/>
            </w:pPr>
            <w:r>
              <w:rPr>
                <w:sz w:val="17"/>
              </w:rPr>
              <w:t>Reduce study time and improve recall through accurate, adaptive stories</w:t>
            </w:r>
          </w:p>
        </w:tc>
      </w:tr>
      <w:tr>
        <w:tc>
          <w:tcPr>
            <w:tcW w:type="dxa" w:w="2200"/>
            <w:vAlign w:val="top"/>
          </w:tcPr>
          <w:p>
            <w:pPr>
              <w:spacing w:after="60"/>
            </w:pPr>
            <w:r>
              <w:rPr>
                <w:sz w:val="17"/>
              </w:rPr>
              <w:t>Non-goal</w:t>
            </w:r>
          </w:p>
        </w:tc>
        <w:tc>
          <w:tcPr>
            <w:tcW w:type="dxa" w:w="7160"/>
            <w:vAlign w:val="top"/>
          </w:tcPr>
          <w:p>
            <w:pPr>
              <w:spacing w:after="60"/>
            </w:pPr>
            <w:r>
              <w:rPr>
                <w:sz w:val="17"/>
              </w:rPr>
              <w:t>A generic chatbot, autonomous current-affairs publisher, or full exam platform</w:t>
            </w:r>
          </w:p>
        </w:tc>
      </w:tr>
    </w:tbl>
    <w:p>
      <w:pPr>
        <w:spacing w:after="0"/>
      </w:pPr>
    </w:p>
    <w:p>
      <w:pPr>
        <w:pStyle w:val="DecisionCallout"/>
      </w:pPr>
      <w:r>
        <w:rPr>
          <w:b/>
        </w:rPr>
        <w:t xml:space="preserve">Architecture decision: </w:t>
      </w:r>
      <w:r>
        <w:t>Ground every lesson in approved source material, plan the teaching story explicitly, and block publication when factual checks fail.</w:t>
      </w:r>
    </w:p>
    <w:p>
      <w:r>
        <w:br w:type="page"/>
      </w:r>
    </w:p>
    <w:p>
      <w:pPr>
        <w:pStyle w:val="Heading1"/>
      </w:pPr>
      <w:r>
        <w:t>1. Executive Summary</w:t>
      </w:r>
    </w:p>
    <w:p>
      <w:r>
        <w:t>The MVP is a single-student, offline web application distributed across two trusted machines on the home network. The Dell laptop is the application host and development machine: it runs the web UI, API, retrieval, content ingestion, database, learner memory, and monitoring. The RTX 5070 Ti PC is a dedicated model host: it runs only the generation and embedding model services. Approved source passages are retrieved on the Dell, sent as a bounded evidence packet to the model PC, and the returned lesson is verified before publication.</w:t>
      </w:r>
    </w:p>
    <w:p>
      <w:r>
        <w:t>The recommended primary model is Qwen3.5 9B in a 5-bit GGUF quantization, subject to a local acceptance benchmark on the RTX PC. It offers a strong balance of reasoning, multilingual ability, instruction following, and latency within 16 GB VRAM. Gemma 3 12B in 4-bit GGUF is the backup because it is mature, multilingual, and comfortably sized. The Dell reaches both through a private, authenticated LAN model gateway using an OpenAI-compatible interface, so models and runtimes can change without rewriting the product.</w:t>
      </w:r>
    </w:p>
    <w:p>
      <w:r>
        <w:t>The MVP should not fine-tune a model. Its quality will come from licensed content, retrieval, structured prompts, deterministic checks, and an evaluation set. Current affairs are handled as manually imported, dated source packs; “offline” means no internet dependency, but both machines and the private LAN must be available for new lesson generation. Previously verified lessons remain readable from the Dell when the model PC is offline. The first usable version can be built in six weeks by one experienced full-stack/LLM engineer, with a seventh week reserved for acceptance hardening.</w:t>
      </w:r>
    </w:p>
    <w:p>
      <w:pPr>
        <w:pStyle w:val="RiskCallout"/>
      </w:pPr>
      <w:r>
        <w:rPr>
          <w:b/>
        </w:rPr>
        <w:t xml:space="preserve">Important limitation: </w:t>
      </w:r>
      <w:r>
        <w:t>A local LLM can still hallucinate. Stories must never be treated as authoritative unless the displayed claims are traceable to approved passages and pass the verifier. When evidence is insufficient, the correct output is “source material required,” not an invented lesson.</w:t>
      </w:r>
    </w:p>
    <w:p>
      <w:pPr>
        <w:pStyle w:val="Heading2"/>
      </w:pPr>
      <w:r>
        <w:t>1.1 Product success criteria</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D9EAF7"/>
            <w:vAlign w:val="center"/>
          </w:tcPr>
          <w:p>
            <w:r>
              <w:rPr>
                <w:b/>
                <w:color w:val="17365D"/>
                <w:sz w:val="18"/>
              </w:rPr>
              <w:t>Metric</w:t>
            </w:r>
          </w:p>
        </w:tc>
        <w:tc>
          <w:tcPr>
            <w:tcW w:type="dxa" w:w="7260"/>
            <w:shd w:fill="D9EAF7"/>
            <w:vAlign w:val="center"/>
          </w:tcPr>
          <w:p>
            <w:r>
              <w:rPr>
                <w:b/>
                <w:color w:val="17365D"/>
                <w:sz w:val="18"/>
              </w:rPr>
              <w:t>MVP acceptance target</w:t>
            </w:r>
          </w:p>
        </w:tc>
      </w:tr>
      <w:tr>
        <w:tc>
          <w:tcPr>
            <w:tcW w:type="dxa" w:w="2100"/>
            <w:vAlign w:val="top"/>
          </w:tcPr>
          <w:p>
            <w:pPr>
              <w:spacing w:after="60"/>
            </w:pPr>
            <w:r>
              <w:rPr>
                <w:sz w:val="17"/>
              </w:rPr>
              <w:t>Grounded factual claims</w:t>
            </w:r>
          </w:p>
        </w:tc>
        <w:tc>
          <w:tcPr>
            <w:tcW w:type="dxa" w:w="7260"/>
            <w:vAlign w:val="top"/>
          </w:tcPr>
          <w:p>
            <w:pPr>
              <w:spacing w:after="60"/>
            </w:pPr>
            <w:r>
              <w:rPr>
                <w:sz w:val="17"/>
              </w:rPr>
              <w:t>≥ 98% supported on a human-reviewed 200-lesson evaluation set; zero unsupported critical facts</w:t>
            </w:r>
          </w:p>
        </w:tc>
      </w:tr>
      <w:tr>
        <w:tc>
          <w:tcPr>
            <w:tcW w:type="dxa" w:w="2100"/>
            <w:vAlign w:val="top"/>
          </w:tcPr>
          <w:p>
            <w:pPr>
              <w:spacing w:after="60"/>
            </w:pPr>
            <w:r>
              <w:rPr>
                <w:sz w:val="17"/>
              </w:rPr>
              <w:t>Concept coverage</w:t>
            </w:r>
          </w:p>
        </w:tc>
        <w:tc>
          <w:tcPr>
            <w:tcW w:type="dxa" w:w="7260"/>
            <w:vAlign w:val="top"/>
          </w:tcPr>
          <w:p>
            <w:pPr>
              <w:spacing w:after="60"/>
            </w:pPr>
            <w:r>
              <w:rPr>
                <w:sz w:val="17"/>
              </w:rPr>
              <w:t>≥ 90% of required learning objectives present</w:t>
            </w:r>
          </w:p>
        </w:tc>
      </w:tr>
      <w:tr>
        <w:tc>
          <w:tcPr>
            <w:tcW w:type="dxa" w:w="2100"/>
            <w:vAlign w:val="top"/>
          </w:tcPr>
          <w:p>
            <w:pPr>
              <w:spacing w:after="60"/>
            </w:pPr>
            <w:r>
              <w:rPr>
                <w:sz w:val="17"/>
              </w:rPr>
              <w:t>Adaptation</w:t>
            </w:r>
          </w:p>
        </w:tc>
        <w:tc>
          <w:tcPr>
            <w:tcW w:type="dxa" w:w="7260"/>
            <w:vAlign w:val="top"/>
          </w:tcPr>
          <w:p>
            <w:pPr>
              <w:spacing w:after="60"/>
            </w:pPr>
            <w:r>
              <w:rPr>
                <w:sz w:val="17"/>
              </w:rPr>
              <w:t>Human reviewers can reliably distinguish levels 10, 15, 18 and 28 without loss of core facts</w:t>
            </w:r>
          </w:p>
        </w:tc>
      </w:tr>
      <w:tr>
        <w:tc>
          <w:tcPr>
            <w:tcW w:type="dxa" w:w="2100"/>
            <w:vAlign w:val="top"/>
          </w:tcPr>
          <w:p>
            <w:pPr>
              <w:spacing w:after="60"/>
            </w:pPr>
            <w:r>
              <w:rPr>
                <w:sz w:val="17"/>
              </w:rPr>
              <w:t>Latency</w:t>
            </w:r>
          </w:p>
        </w:tc>
        <w:tc>
          <w:tcPr>
            <w:tcW w:type="dxa" w:w="7260"/>
            <w:vAlign w:val="top"/>
          </w:tcPr>
          <w:p>
            <w:pPr>
              <w:spacing w:after="60"/>
            </w:pPr>
            <w:r>
              <w:rPr>
                <w:sz w:val="17"/>
              </w:rPr>
              <w:t>First visible token ≤ 3 s; typical complete lesson ≤ 20 s on target machine after warm-up</w:t>
            </w:r>
          </w:p>
        </w:tc>
      </w:tr>
      <w:tr>
        <w:tc>
          <w:tcPr>
            <w:tcW w:type="dxa" w:w="2100"/>
            <w:vAlign w:val="top"/>
          </w:tcPr>
          <w:p>
            <w:pPr>
              <w:spacing w:after="60"/>
            </w:pPr>
            <w:r>
              <w:rPr>
                <w:sz w:val="17"/>
              </w:rPr>
              <w:t>Recall utility</w:t>
            </w:r>
          </w:p>
        </w:tc>
        <w:tc>
          <w:tcPr>
            <w:tcW w:type="dxa" w:w="7260"/>
            <w:vAlign w:val="top"/>
          </w:tcPr>
          <w:p>
            <w:pPr>
              <w:spacing w:after="60"/>
            </w:pPr>
            <w:r>
              <w:rPr>
                <w:sz w:val="17"/>
              </w:rPr>
              <w:t>Student answers ≥ 70% of the immediate 3-question concept check after a lesson</w:t>
            </w:r>
          </w:p>
        </w:tc>
      </w:tr>
      <w:tr>
        <w:tc>
          <w:tcPr>
            <w:tcW w:type="dxa" w:w="2100"/>
            <w:vAlign w:val="top"/>
          </w:tcPr>
          <w:p>
            <w:pPr>
              <w:spacing w:after="60"/>
            </w:pPr>
            <w:r>
              <w:rPr>
                <w:sz w:val="17"/>
              </w:rPr>
              <w:t>Reliability</w:t>
            </w:r>
          </w:p>
        </w:tc>
        <w:tc>
          <w:tcPr>
            <w:tcW w:type="dxa" w:w="7260"/>
            <w:vAlign w:val="top"/>
          </w:tcPr>
          <w:p>
            <w:pPr>
              <w:spacing w:after="60"/>
            </w:pPr>
            <w:r>
              <w:rPr>
                <w:sz w:val="17"/>
              </w:rPr>
              <w:t>No lesson is shown as verified when retrieval or verification fails</w:t>
            </w:r>
          </w:p>
        </w:tc>
      </w:tr>
    </w:tbl>
    <w:p>
      <w:pPr>
        <w:spacing w:after="0"/>
      </w:pPr>
    </w:p>
    <w:p>
      <w:pPr>
        <w:pStyle w:val="Heading1"/>
      </w:pPr>
      <w:r>
        <w:t>2. Product Definition and MVP Boundaries</w:t>
      </w:r>
    </w:p>
    <w:p>
      <w:pPr>
        <w:pStyle w:val="Heading2"/>
      </w:pPr>
      <w:r>
        <w:t>2.1 Primary learning loop</w:t>
      </w:r>
    </w:p>
    <w:p>
      <w:pPr>
        <w:pStyle w:val="ListNumber"/>
        <w:spacing w:after="60"/>
      </w:pPr>
      <w:r>
        <w:t>Student selects subject, topic, preferred language, understanding level, and available minutes.</w:t>
      </w:r>
    </w:p>
    <w:p>
      <w:pPr>
        <w:pStyle w:val="ListNumber"/>
        <w:spacing w:after="60"/>
      </w:pPr>
      <w:r>
        <w:t>System retrieves authoritative passages and identifies the examinable learning objectives.</w:t>
      </w:r>
    </w:p>
    <w:p>
      <w:pPr>
        <w:pStyle w:val="ListNumber"/>
        <w:spacing w:after="60"/>
      </w:pPr>
      <w:r>
        <w:t>Model creates a story plan, then a short story tuned to the selected level.</w:t>
      </w:r>
    </w:p>
    <w:p>
      <w:pPr>
        <w:pStyle w:val="ListNumber"/>
        <w:spacing w:after="60"/>
      </w:pPr>
      <w:r>
        <w:t>Verifier extracts claims and checks them against source passages.</w:t>
      </w:r>
    </w:p>
    <w:p>
      <w:pPr>
        <w:pStyle w:val="ListNumber"/>
        <w:spacing w:after="60"/>
      </w:pPr>
      <w:r>
        <w:t>Student reads the story, exam-truth summary, mnemonic, and source list.</w:t>
      </w:r>
    </w:p>
    <w:p>
      <w:pPr>
        <w:pStyle w:val="ListNumber"/>
        <w:spacing w:after="60"/>
      </w:pPr>
      <w:r>
        <w:t>Student answers three quick questions and rates “too easy / right / too hard.”</w:t>
      </w:r>
    </w:p>
    <w:p>
      <w:pPr>
        <w:pStyle w:val="ListNumber"/>
        <w:spacing w:after="60"/>
      </w:pPr>
      <w:r>
        <w:t>System updates mastery and preferences for the next lesson.</w:t>
      </w:r>
    </w:p>
    <w:p>
      <w:pPr>
        <w:pStyle w:val="Heading2"/>
      </w:pPr>
      <w:r>
        <w:t>2.2 Included in MVP</w:t>
      </w:r>
    </w:p>
    <w:p>
      <w:pPr>
        <w:pStyle w:val="ListBullet"/>
        <w:spacing w:after="60"/>
      </w:pPr>
      <w:r>
        <w:t>One local adult learner profile; optional local PIN, not multi-user accounts.</w:t>
      </w:r>
    </w:p>
    <w:p>
      <w:pPr>
        <w:pStyle w:val="ListBullet"/>
        <w:spacing w:after="60"/>
      </w:pPr>
      <w:r>
        <w:t>Text lessons for static syllabus topics across selected subjects. Start with two subjects and 50–100 curated concepts, then expand content—not features.</w:t>
      </w:r>
    </w:p>
    <w:p>
      <w:pPr>
        <w:pStyle w:val="ListBullet"/>
        <w:spacing w:after="60"/>
      </w:pPr>
      <w:r>
        <w:t>Adjustable understanding level 10–28, plus language choice (English first; Hindi/Hinglish only after evaluation).</w:t>
      </w:r>
    </w:p>
    <w:p>
      <w:pPr>
        <w:pStyle w:val="ListBullet"/>
        <w:spacing w:after="60"/>
      </w:pPr>
      <w:r>
        <w:t>Grounded story, exam-truth bullets, key terms, mnemonic, sources, and three-question comprehension check.</w:t>
      </w:r>
    </w:p>
    <w:p>
      <w:pPr>
        <w:pStyle w:val="ListBullet"/>
        <w:spacing w:after="60"/>
      </w:pPr>
      <w:r>
        <w:t>Simple learning history: attempted concepts, mastery score, weak topics, preferred story style, last reviewed time.</w:t>
      </w:r>
    </w:p>
    <w:p>
      <w:pPr>
        <w:pStyle w:val="ListBullet"/>
        <w:spacing w:after="60"/>
      </w:pPr>
      <w:r>
        <w:t>Content ingestion for curated PDF/HTML/text sources with provenance, page/section metadata, and version date.</w:t>
      </w:r>
    </w:p>
    <w:p>
      <w:pPr>
        <w:pStyle w:val="ListBullet"/>
        <w:spacing w:after="60"/>
      </w:pPr>
      <w:r>
        <w:t>Admin-only local content validation and re-index command.</w:t>
      </w:r>
    </w:p>
    <w:p>
      <w:pPr>
        <w:pStyle w:val="ListBullet"/>
        <w:spacing w:after="60"/>
      </w:pPr>
      <w:r>
        <w:t>Offline telemetry: latency, tokens, retrieval scores, verification results, and failures stored locally.</w:t>
      </w:r>
    </w:p>
    <w:p>
      <w:pPr>
        <w:pStyle w:val="Heading2"/>
      </w:pPr>
      <w:r>
        <w:t>2.3 Explicitly postponed</w:t>
      </w:r>
    </w:p>
    <w:p>
      <w:pPr>
        <w:pStyle w:val="ListBullet"/>
        <w:spacing w:after="60"/>
      </w:pPr>
      <w:r>
        <w:t>Voice conversation, speech recognition, and text-to-speech UI.</w:t>
      </w:r>
    </w:p>
    <w:p>
      <w:pPr>
        <w:pStyle w:val="ListBullet"/>
        <w:spacing w:after="60"/>
      </w:pPr>
      <w:r>
        <w:t>Full quiz engine, mock tests, leaderboards, social features, notifications, and gamification.</w:t>
      </w:r>
    </w:p>
    <w:p>
      <w:pPr>
        <w:pStyle w:val="ListBullet"/>
        <w:spacing w:after="60"/>
      </w:pPr>
      <w:r>
        <w:t>Automatic web browsing or automatic current-affairs publication.</w:t>
      </w:r>
    </w:p>
    <w:p>
      <w:pPr>
        <w:pStyle w:val="ListBullet"/>
        <w:spacing w:after="60"/>
      </w:pPr>
      <w:r>
        <w:t>Mobile apps; use a responsive progressive web app first.</w:t>
      </w:r>
    </w:p>
    <w:p>
      <w:pPr>
        <w:pStyle w:val="ListBullet"/>
        <w:spacing w:after="60"/>
      </w:pPr>
      <w:r>
        <w:t>Multi-student tenancy, cloud identity, parental dashboards, payments, or public registration.</w:t>
      </w:r>
    </w:p>
    <w:p>
      <w:pPr>
        <w:pStyle w:val="ListBullet"/>
        <w:spacing w:after="60"/>
      </w:pPr>
      <w:r>
        <w:t>Fine-tuning, LoRA, knowledge-graph construction, and agent swarms.</w:t>
      </w:r>
    </w:p>
    <w:p>
      <w:pPr>
        <w:pStyle w:val="ListBullet"/>
        <w:spacing w:after="60"/>
      </w:pPr>
      <w:r>
        <w:t>Image generation, animated stories, and avatars.</w:t>
      </w:r>
    </w:p>
    <w:p>
      <w:pPr>
        <w:pStyle w:val="Heading2"/>
      </w:pPr>
      <w:r>
        <w:t>2.4 Essential missing requirements resolved</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D9EAF7"/>
            <w:vAlign w:val="center"/>
          </w:tcPr>
          <w:p>
            <w:r>
              <w:rPr>
                <w:b/>
                <w:color w:val="17365D"/>
                <w:sz w:val="18"/>
              </w:rPr>
              <w:t>Requirement</w:t>
            </w:r>
          </w:p>
        </w:tc>
        <w:tc>
          <w:tcPr>
            <w:tcW w:type="dxa" w:w="7460"/>
            <w:shd w:fill="D9EAF7"/>
            <w:vAlign w:val="center"/>
          </w:tcPr>
          <w:p>
            <w:r>
              <w:rPr>
                <w:b/>
                <w:color w:val="17365D"/>
                <w:sz w:val="18"/>
              </w:rPr>
              <w:t>MVP decision</w:t>
            </w:r>
          </w:p>
        </w:tc>
      </w:tr>
      <w:tr>
        <w:tc>
          <w:tcPr>
            <w:tcW w:type="dxa" w:w="1900"/>
            <w:vAlign w:val="top"/>
          </w:tcPr>
          <w:p>
            <w:pPr>
              <w:spacing w:after="60"/>
            </w:pPr>
            <w:r>
              <w:rPr>
                <w:sz w:val="17"/>
              </w:rPr>
              <w:t>Exam and syllabus</w:t>
            </w:r>
          </w:p>
        </w:tc>
        <w:tc>
          <w:tcPr>
            <w:tcW w:type="dxa" w:w="7460"/>
            <w:vAlign w:val="top"/>
          </w:tcPr>
          <w:p>
            <w:pPr>
              <w:spacing w:after="60"/>
            </w:pPr>
            <w:r>
              <w:rPr>
                <w:sz w:val="17"/>
              </w:rPr>
              <w:t>Choose one target exam family and edition at project start; maintain a versioned syllabus taxonomy.</w:t>
            </w:r>
          </w:p>
        </w:tc>
      </w:tr>
      <w:tr>
        <w:tc>
          <w:tcPr>
            <w:tcW w:type="dxa" w:w="1900"/>
            <w:vAlign w:val="top"/>
          </w:tcPr>
          <w:p>
            <w:pPr>
              <w:spacing w:after="60"/>
            </w:pPr>
            <w:r>
              <w:rPr>
                <w:sz w:val="17"/>
              </w:rPr>
              <w:t>Language</w:t>
            </w:r>
          </w:p>
        </w:tc>
        <w:tc>
          <w:tcPr>
            <w:tcW w:type="dxa" w:w="7460"/>
            <w:vAlign w:val="top"/>
          </w:tcPr>
          <w:p>
            <w:pPr>
              <w:spacing w:after="60"/>
            </w:pPr>
            <w:r>
              <w:rPr>
                <w:sz w:val="17"/>
              </w:rPr>
              <w:t>English-first acceptance baseline; Hindi/Hinglish is a separate evaluated capability, not assumed.</w:t>
            </w:r>
          </w:p>
        </w:tc>
      </w:tr>
      <w:tr>
        <w:tc>
          <w:tcPr>
            <w:tcW w:type="dxa" w:w="1900"/>
            <w:vAlign w:val="top"/>
          </w:tcPr>
          <w:p>
            <w:pPr>
              <w:spacing w:after="60"/>
            </w:pPr>
            <w:r>
              <w:rPr>
                <w:sz w:val="17"/>
              </w:rPr>
              <w:t>Understanding level</w:t>
            </w:r>
          </w:p>
        </w:tc>
        <w:tc>
          <w:tcPr>
            <w:tcW w:type="dxa" w:w="7460"/>
            <w:vAlign w:val="top"/>
          </w:tcPr>
          <w:p>
            <w:pPr>
              <w:spacing w:after="60"/>
            </w:pPr>
            <w:r>
              <w:rPr>
                <w:sz w:val="17"/>
              </w:rPr>
              <w:t>A pedagogical control, not literal age. Store preferred level per subject and allow one-click adjustment.</w:t>
            </w:r>
          </w:p>
        </w:tc>
      </w:tr>
      <w:tr>
        <w:tc>
          <w:tcPr>
            <w:tcW w:type="dxa" w:w="1900"/>
            <w:vAlign w:val="top"/>
          </w:tcPr>
          <w:p>
            <w:pPr>
              <w:spacing w:after="60"/>
            </w:pPr>
            <w:r>
              <w:rPr>
                <w:sz w:val="17"/>
              </w:rPr>
              <w:t>Lesson length</w:t>
            </w:r>
          </w:p>
        </w:tc>
        <w:tc>
          <w:tcPr>
            <w:tcW w:type="dxa" w:w="7460"/>
            <w:vAlign w:val="top"/>
          </w:tcPr>
          <w:p>
            <w:pPr>
              <w:spacing w:after="60"/>
            </w:pPr>
            <w:r>
              <w:rPr>
                <w:sz w:val="17"/>
              </w:rPr>
              <w:t>Default 5 minutes; presets 2, 5, and 10 minutes.</w:t>
            </w:r>
          </w:p>
        </w:tc>
      </w:tr>
      <w:tr>
        <w:tc>
          <w:tcPr>
            <w:tcW w:type="dxa" w:w="1900"/>
            <w:vAlign w:val="top"/>
          </w:tcPr>
          <w:p>
            <w:pPr>
              <w:spacing w:after="60"/>
            </w:pPr>
            <w:r>
              <w:rPr>
                <w:sz w:val="17"/>
              </w:rPr>
              <w:t>Source authority</w:t>
            </w:r>
          </w:p>
        </w:tc>
        <w:tc>
          <w:tcPr>
            <w:tcW w:type="dxa" w:w="7460"/>
            <w:vAlign w:val="top"/>
          </w:tcPr>
          <w:p>
            <w:pPr>
              <w:spacing w:after="60"/>
            </w:pPr>
            <w:r>
              <w:rPr>
                <w:sz w:val="17"/>
              </w:rPr>
              <w:t>Every content item needs owner, license, exam relevance, effective date, and page/URL provenance.</w:t>
            </w:r>
          </w:p>
        </w:tc>
      </w:tr>
      <w:tr>
        <w:tc>
          <w:tcPr>
            <w:tcW w:type="dxa" w:w="1900"/>
            <w:vAlign w:val="top"/>
          </w:tcPr>
          <w:p>
            <w:pPr>
              <w:spacing w:after="60"/>
            </w:pPr>
            <w:r>
              <w:rPr>
                <w:sz w:val="17"/>
              </w:rPr>
              <w:t>Feedback</w:t>
            </w:r>
          </w:p>
        </w:tc>
        <w:tc>
          <w:tcPr>
            <w:tcW w:type="dxa" w:w="7460"/>
            <w:vAlign w:val="top"/>
          </w:tcPr>
          <w:p>
            <w:pPr>
              <w:spacing w:after="60"/>
            </w:pPr>
            <w:r>
              <w:rPr>
                <w:sz w:val="17"/>
              </w:rPr>
              <w:t>Too easy / right / too hard; factual issue report; 3-question check.</w:t>
            </w:r>
          </w:p>
        </w:tc>
      </w:tr>
      <w:tr>
        <w:tc>
          <w:tcPr>
            <w:tcW w:type="dxa" w:w="1900"/>
            <w:vAlign w:val="top"/>
          </w:tcPr>
          <w:p>
            <w:pPr>
              <w:spacing w:after="60"/>
            </w:pPr>
            <w:r>
              <w:rPr>
                <w:sz w:val="17"/>
              </w:rPr>
              <w:t>Accuracy policy</w:t>
            </w:r>
          </w:p>
        </w:tc>
        <w:tc>
          <w:tcPr>
            <w:tcW w:type="dxa" w:w="7460"/>
            <w:vAlign w:val="top"/>
          </w:tcPr>
          <w:p>
            <w:pPr>
              <w:spacing w:after="60"/>
            </w:pPr>
            <w:r>
              <w:rPr>
                <w:sz w:val="17"/>
              </w:rPr>
              <w:t>Unsupported or contradictory critical claims block the story.</w:t>
            </w:r>
          </w:p>
        </w:tc>
      </w:tr>
      <w:tr>
        <w:tc>
          <w:tcPr>
            <w:tcW w:type="dxa" w:w="1900"/>
            <w:vAlign w:val="top"/>
          </w:tcPr>
          <w:p>
            <w:pPr>
              <w:spacing w:after="60"/>
            </w:pPr>
            <w:r>
              <w:rPr>
                <w:sz w:val="17"/>
              </w:rPr>
              <w:t>Current affairs</w:t>
            </w:r>
          </w:p>
        </w:tc>
        <w:tc>
          <w:tcPr>
            <w:tcW w:type="dxa" w:w="7460"/>
            <w:vAlign w:val="top"/>
          </w:tcPr>
          <w:p>
            <w:pPr>
              <w:spacing w:after="60"/>
            </w:pPr>
            <w:r>
              <w:rPr>
                <w:sz w:val="17"/>
              </w:rPr>
              <w:t>Dated, manually curated source packs with “valid through” date and expiry warning.</w:t>
            </w:r>
          </w:p>
        </w:tc>
      </w:tr>
      <w:tr>
        <w:tc>
          <w:tcPr>
            <w:tcW w:type="dxa" w:w="1900"/>
            <w:vAlign w:val="top"/>
          </w:tcPr>
          <w:p>
            <w:pPr>
              <w:spacing w:after="60"/>
            </w:pPr>
            <w:r>
              <w:rPr>
                <w:sz w:val="17"/>
              </w:rPr>
              <w:t>Privacy</w:t>
            </w:r>
          </w:p>
        </w:tc>
        <w:tc>
          <w:tcPr>
            <w:tcW w:type="dxa" w:w="7460"/>
            <w:vAlign w:val="top"/>
          </w:tcPr>
          <w:p>
            <w:pPr>
              <w:spacing w:after="60"/>
            </w:pPr>
            <w:r>
              <w:rPr>
                <w:sz w:val="17"/>
              </w:rPr>
              <w:t>Local-only data by default; export/delete controls before LAN deployment.</w:t>
            </w:r>
          </w:p>
        </w:tc>
      </w:tr>
    </w:tbl>
    <w:p>
      <w:pPr>
        <w:spacing w:after="0"/>
      </w:pPr>
    </w:p>
    <w:p>
      <w:r>
        <w:br w:type="page"/>
      </w:r>
    </w:p>
    <w:p>
      <w:pPr>
        <w:pStyle w:val="Heading1"/>
      </w:pPr>
      <w:r>
        <w:t>3. Recommended Local Models</w:t>
      </w:r>
    </w:p>
    <w:p>
      <w:r>
        <w:t>Model rankings below are architectural recommendations, not benchmark claims for this exact machine. Quantized memory figures are planning ranges; actual VRAM depends on runtime, context length, KV cache, vision components, and offload settings. Run the acceptance benchmark in Section 14 before locking the model.</w:t>
      </w:r>
    </w:p>
    <w:tbl>
      <w:tblPr>
        <w:tblStyle w:val="TableGrid"/>
        <w:tblW w:type="dxa" w:w="9360"/>
        <w:jc w:val="left"/>
        <w:tblLayout w:type="fixed"/>
        <w:tblLook w:firstColumn="1" w:firstRow="1" w:lastColumn="0" w:lastRow="0" w:noHBand="0" w:noVBand="1" w:val="04A0"/>
        <w:tblInd w:w="120" w:type="dxa"/>
      </w:tblPr>
      <w:tblGrid>
        <w:gridCol w:w="1700"/>
        <w:gridCol w:w="3000"/>
        <w:gridCol w:w="1900"/>
        <w:gridCol w:w="2760"/>
      </w:tblGrid>
      <w:tr>
        <w:tc>
          <w:tcPr>
            <w:tcW w:type="dxa" w:w="1700"/>
            <w:shd w:fill="D9EAF7"/>
            <w:vAlign w:val="center"/>
          </w:tcPr>
          <w:p>
            <w:r>
              <w:rPr>
                <w:b/>
                <w:color w:val="17365D"/>
                <w:sz w:val="18"/>
              </w:rPr>
              <w:t>Family / candidate</w:t>
            </w:r>
          </w:p>
        </w:tc>
        <w:tc>
          <w:tcPr>
            <w:tcW w:type="dxa" w:w="3000"/>
            <w:shd w:fill="D9EAF7"/>
            <w:vAlign w:val="center"/>
          </w:tcPr>
          <w:p>
            <w:r>
              <w:rPr>
                <w:b/>
                <w:color w:val="17365D"/>
                <w:sz w:val="18"/>
              </w:rPr>
              <w:t>Teaching &amp; story fit</w:t>
            </w:r>
          </w:p>
        </w:tc>
        <w:tc>
          <w:tcPr>
            <w:tcW w:type="dxa" w:w="1900"/>
            <w:shd w:fill="D9EAF7"/>
            <w:vAlign w:val="center"/>
          </w:tcPr>
          <w:p>
            <w:r>
              <w:rPr>
                <w:b/>
                <w:color w:val="17365D"/>
                <w:sz w:val="18"/>
              </w:rPr>
              <w:t>16 GB fit</w:t>
            </w:r>
          </w:p>
        </w:tc>
        <w:tc>
          <w:tcPr>
            <w:tcW w:type="dxa" w:w="2760"/>
            <w:shd w:fill="D9EAF7"/>
            <w:vAlign w:val="center"/>
          </w:tcPr>
          <w:p>
            <w:r>
              <w:rPr>
                <w:b/>
                <w:color w:val="17365D"/>
                <w:sz w:val="18"/>
              </w:rPr>
              <w:t>Recommendation</w:t>
            </w:r>
          </w:p>
        </w:tc>
      </w:tr>
      <w:tr>
        <w:tc>
          <w:tcPr>
            <w:tcW w:type="dxa" w:w="1700"/>
            <w:vAlign w:val="top"/>
          </w:tcPr>
          <w:p>
            <w:pPr>
              <w:spacing w:after="60"/>
            </w:pPr>
            <w:r>
              <w:rPr>
                <w:sz w:val="17"/>
              </w:rPr>
              <w:t>Qwen3.5 9B</w:t>
            </w:r>
          </w:p>
        </w:tc>
        <w:tc>
          <w:tcPr>
            <w:tcW w:type="dxa" w:w="3000"/>
            <w:vAlign w:val="top"/>
          </w:tcPr>
          <w:p>
            <w:pPr>
              <w:spacing w:after="60"/>
            </w:pPr>
            <w:r>
              <w:rPr>
                <w:sz w:val="17"/>
              </w:rPr>
              <w:t>Strong reasoning, multilingual response control, modern instruction following; likely best balance.</w:t>
            </w:r>
          </w:p>
        </w:tc>
        <w:tc>
          <w:tcPr>
            <w:tcW w:type="dxa" w:w="1900"/>
            <w:vAlign w:val="top"/>
          </w:tcPr>
          <w:p>
            <w:pPr>
              <w:spacing w:after="60"/>
            </w:pPr>
            <w:r>
              <w:rPr>
                <w:sz w:val="17"/>
              </w:rPr>
              <w:t>Excellent at Q5; reserve VRAM for KV cache.</w:t>
            </w:r>
          </w:p>
        </w:tc>
        <w:tc>
          <w:tcPr>
            <w:tcW w:type="dxa" w:w="2760"/>
            <w:vAlign w:val="top"/>
          </w:tcPr>
          <w:p>
            <w:pPr>
              <w:spacing w:after="60"/>
            </w:pPr>
            <w:r>
              <w:rPr>
                <w:sz w:val="17"/>
              </w:rPr>
              <w:t>PRIMARY: Q5_K_M GGUF; Q4_K_M if context pressure occurs.</w:t>
            </w:r>
          </w:p>
        </w:tc>
      </w:tr>
      <w:tr>
        <w:tc>
          <w:tcPr>
            <w:tcW w:type="dxa" w:w="1700"/>
            <w:vAlign w:val="top"/>
          </w:tcPr>
          <w:p>
            <w:pPr>
              <w:spacing w:after="60"/>
            </w:pPr>
            <w:r>
              <w:rPr>
                <w:sz w:val="17"/>
              </w:rPr>
              <w:t>Gemma 3 12B IT</w:t>
            </w:r>
          </w:p>
        </w:tc>
        <w:tc>
          <w:tcPr>
            <w:tcW w:type="dxa" w:w="3000"/>
            <w:vAlign w:val="top"/>
          </w:tcPr>
          <w:p>
            <w:pPr>
              <w:spacing w:after="60"/>
            </w:pPr>
            <w:r>
              <w:rPr>
                <w:sz w:val="17"/>
              </w:rPr>
              <w:t>Natural prose, multilingual, mature 128K model family; good backup for simple explanations.</w:t>
            </w:r>
          </w:p>
        </w:tc>
        <w:tc>
          <w:tcPr>
            <w:tcW w:type="dxa" w:w="1900"/>
            <w:vAlign w:val="top"/>
          </w:tcPr>
          <w:p>
            <w:pPr>
              <w:spacing w:after="60"/>
            </w:pPr>
            <w:r>
              <w:rPr>
                <w:sz w:val="17"/>
              </w:rPr>
              <w:t>Good at Q4; use 8K–16K runtime context.</w:t>
            </w:r>
          </w:p>
        </w:tc>
        <w:tc>
          <w:tcPr>
            <w:tcW w:type="dxa" w:w="2760"/>
            <w:vAlign w:val="top"/>
          </w:tcPr>
          <w:p>
            <w:pPr>
              <w:spacing w:after="60"/>
            </w:pPr>
            <w:r>
              <w:rPr>
                <w:sz w:val="17"/>
              </w:rPr>
              <w:t>BACKUP: Q4_K_M GGUF.</w:t>
            </w:r>
          </w:p>
        </w:tc>
      </w:tr>
      <w:tr>
        <w:tc>
          <w:tcPr>
            <w:tcW w:type="dxa" w:w="1700"/>
            <w:vAlign w:val="top"/>
          </w:tcPr>
          <w:p>
            <w:pPr>
              <w:spacing w:after="60"/>
            </w:pPr>
            <w:r>
              <w:rPr>
                <w:sz w:val="17"/>
              </w:rPr>
              <w:t>Qwen3 14B</w:t>
            </w:r>
          </w:p>
        </w:tc>
        <w:tc>
          <w:tcPr>
            <w:tcW w:type="dxa" w:w="3000"/>
            <w:vAlign w:val="top"/>
          </w:tcPr>
          <w:p>
            <w:pPr>
              <w:spacing w:after="60"/>
            </w:pPr>
            <w:r>
              <w:rPr>
                <w:sz w:val="17"/>
              </w:rPr>
              <w:t>Established Apache-2.0 option; capable but slower/heavier than 9B successor.</w:t>
            </w:r>
          </w:p>
        </w:tc>
        <w:tc>
          <w:tcPr>
            <w:tcW w:type="dxa" w:w="1900"/>
            <w:vAlign w:val="top"/>
          </w:tcPr>
          <w:p>
            <w:pPr>
              <w:spacing w:after="60"/>
            </w:pPr>
            <w:r>
              <w:rPr>
                <w:sz w:val="17"/>
              </w:rPr>
              <w:t>Good at Q4; tight at Q5 with long context.</w:t>
            </w:r>
          </w:p>
        </w:tc>
        <w:tc>
          <w:tcPr>
            <w:tcW w:type="dxa" w:w="2760"/>
            <w:vAlign w:val="top"/>
          </w:tcPr>
          <w:p>
            <w:pPr>
              <w:spacing w:after="60"/>
            </w:pPr>
            <w:r>
              <w:rPr>
                <w:sz w:val="17"/>
              </w:rPr>
              <w:t>Fallback if Qwen3.5 runtime support is immature.</w:t>
            </w:r>
          </w:p>
        </w:tc>
      </w:tr>
      <w:tr>
        <w:tc>
          <w:tcPr>
            <w:tcW w:type="dxa" w:w="1700"/>
            <w:vAlign w:val="top"/>
          </w:tcPr>
          <w:p>
            <w:pPr>
              <w:spacing w:after="60"/>
            </w:pPr>
            <w:r>
              <w:rPr>
                <w:sz w:val="17"/>
              </w:rPr>
              <w:t>Mistral Small 3.1/3.x 24B</w:t>
            </w:r>
          </w:p>
        </w:tc>
        <w:tc>
          <w:tcPr>
            <w:tcW w:type="dxa" w:w="3000"/>
            <w:vAlign w:val="top"/>
          </w:tcPr>
          <w:p>
            <w:pPr>
              <w:spacing w:after="60"/>
            </w:pPr>
            <w:r>
              <w:rPr>
                <w:sz w:val="17"/>
              </w:rPr>
              <w:t>Strong conversation and writing; Apache-2.0 for 3.1.</w:t>
            </w:r>
          </w:p>
        </w:tc>
        <w:tc>
          <w:tcPr>
            <w:tcW w:type="dxa" w:w="1900"/>
            <w:vAlign w:val="top"/>
          </w:tcPr>
          <w:p>
            <w:pPr>
              <w:spacing w:after="60"/>
            </w:pPr>
            <w:r>
              <w:rPr>
                <w:sz w:val="17"/>
              </w:rPr>
              <w:t>Borderline: Q4 weights plus cache can exceed comfortable VRAM.</w:t>
            </w:r>
          </w:p>
        </w:tc>
        <w:tc>
          <w:tcPr>
            <w:tcW w:type="dxa" w:w="2760"/>
            <w:vAlign w:val="top"/>
          </w:tcPr>
          <w:p>
            <w:pPr>
              <w:spacing w:after="60"/>
            </w:pPr>
            <w:r>
              <w:rPr>
                <w:sz w:val="17"/>
              </w:rPr>
              <w:t>Do not use for default MVP; CPU offload hurts latency.</w:t>
            </w:r>
          </w:p>
        </w:tc>
      </w:tr>
      <w:tr>
        <w:tc>
          <w:tcPr>
            <w:tcW w:type="dxa" w:w="1700"/>
            <w:vAlign w:val="top"/>
          </w:tcPr>
          <w:p>
            <w:pPr>
              <w:spacing w:after="60"/>
            </w:pPr>
            <w:r>
              <w:rPr>
                <w:sz w:val="17"/>
              </w:rPr>
              <w:t>Phi-4 14B</w:t>
            </w:r>
          </w:p>
        </w:tc>
        <w:tc>
          <w:tcPr>
            <w:tcW w:type="dxa" w:w="3000"/>
            <w:vAlign w:val="top"/>
          </w:tcPr>
          <w:p>
            <w:pPr>
              <w:spacing w:after="60"/>
            </w:pPr>
            <w:r>
              <w:rPr>
                <w:sz w:val="17"/>
              </w:rPr>
              <w:t>Strong compact reasoning/math; English-oriented and 16K context.</w:t>
            </w:r>
          </w:p>
        </w:tc>
        <w:tc>
          <w:tcPr>
            <w:tcW w:type="dxa" w:w="1900"/>
            <w:vAlign w:val="top"/>
          </w:tcPr>
          <w:p>
            <w:pPr>
              <w:spacing w:after="60"/>
            </w:pPr>
            <w:r>
              <w:rPr>
                <w:sz w:val="17"/>
              </w:rPr>
              <w:t>Good at Q4.</w:t>
            </w:r>
          </w:p>
        </w:tc>
        <w:tc>
          <w:tcPr>
            <w:tcW w:type="dxa" w:w="2760"/>
            <w:vAlign w:val="top"/>
          </w:tcPr>
          <w:p>
            <w:pPr>
              <w:spacing w:after="60"/>
            </w:pPr>
            <w:r>
              <w:rPr>
                <w:sz w:val="17"/>
              </w:rPr>
              <w:t>Specialist evaluator candidate, not default storyteller.</w:t>
            </w:r>
          </w:p>
        </w:tc>
      </w:tr>
      <w:tr>
        <w:tc>
          <w:tcPr>
            <w:tcW w:type="dxa" w:w="1700"/>
            <w:vAlign w:val="top"/>
          </w:tcPr>
          <w:p>
            <w:pPr>
              <w:spacing w:after="60"/>
            </w:pPr>
            <w:r>
              <w:rPr>
                <w:sz w:val="17"/>
              </w:rPr>
              <w:t>Llama 4 Scout</w:t>
            </w:r>
          </w:p>
        </w:tc>
        <w:tc>
          <w:tcPr>
            <w:tcW w:type="dxa" w:w="3000"/>
            <w:vAlign w:val="top"/>
          </w:tcPr>
          <w:p>
            <w:pPr>
              <w:spacing w:after="60"/>
            </w:pPr>
            <w:r>
              <w:rPr>
                <w:sz w:val="17"/>
              </w:rPr>
              <w:t>Very capable MoE but roughly 109B total weights.</w:t>
            </w:r>
          </w:p>
        </w:tc>
        <w:tc>
          <w:tcPr>
            <w:tcW w:type="dxa" w:w="1900"/>
            <w:vAlign w:val="top"/>
          </w:tcPr>
          <w:p>
            <w:pPr>
              <w:spacing w:after="60"/>
            </w:pPr>
            <w:r>
              <w:rPr>
                <w:sz w:val="17"/>
              </w:rPr>
              <w:t>Not practical on 16 GB.</w:t>
            </w:r>
          </w:p>
        </w:tc>
        <w:tc>
          <w:tcPr>
            <w:tcW w:type="dxa" w:w="2760"/>
            <w:vAlign w:val="top"/>
          </w:tcPr>
          <w:p>
            <w:pPr>
              <w:spacing w:after="60"/>
            </w:pPr>
            <w:r>
              <w:rPr>
                <w:sz w:val="17"/>
              </w:rPr>
              <w:t>Exclude from MVP.</w:t>
            </w:r>
          </w:p>
        </w:tc>
      </w:tr>
      <w:tr>
        <w:tc>
          <w:tcPr>
            <w:tcW w:type="dxa" w:w="1700"/>
            <w:vAlign w:val="top"/>
          </w:tcPr>
          <w:p>
            <w:pPr>
              <w:spacing w:after="60"/>
            </w:pPr>
            <w:r>
              <w:rPr>
                <w:sz w:val="17"/>
              </w:rPr>
              <w:t>DeepSeek R1 distilled 14B</w:t>
            </w:r>
          </w:p>
        </w:tc>
        <w:tc>
          <w:tcPr>
            <w:tcW w:type="dxa" w:w="3000"/>
            <w:vAlign w:val="top"/>
          </w:tcPr>
          <w:p>
            <w:pPr>
              <w:spacing w:after="60"/>
            </w:pPr>
            <w:r>
              <w:rPr>
                <w:sz w:val="17"/>
              </w:rPr>
              <w:t>Good deliberate reasoning; can be verbose and less controllable for concise stories.</w:t>
            </w:r>
          </w:p>
        </w:tc>
        <w:tc>
          <w:tcPr>
            <w:tcW w:type="dxa" w:w="1900"/>
            <w:vAlign w:val="top"/>
          </w:tcPr>
          <w:p>
            <w:pPr>
              <w:spacing w:after="60"/>
            </w:pPr>
            <w:r>
              <w:rPr>
                <w:sz w:val="17"/>
              </w:rPr>
              <w:t>Good at Q4.</w:t>
            </w:r>
          </w:p>
        </w:tc>
        <w:tc>
          <w:tcPr>
            <w:tcW w:type="dxa" w:w="2760"/>
            <w:vAlign w:val="top"/>
          </w:tcPr>
          <w:p>
            <w:pPr>
              <w:spacing w:after="60"/>
            </w:pPr>
            <w:r>
              <w:rPr>
                <w:sz w:val="17"/>
              </w:rPr>
              <w:t>Optional offline benchmark only.</w:t>
            </w:r>
          </w:p>
        </w:tc>
      </w:tr>
    </w:tbl>
    <w:p>
      <w:pPr>
        <w:spacing w:after="0"/>
      </w:pPr>
    </w:p>
    <w:p>
      <w:pPr>
        <w:pStyle w:val="Heading2"/>
      </w:pPr>
      <w:r>
        <w:t>3.1 Primary and backup configurations</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c>
          <w:tcPr>
            <w:tcW w:type="dxa" w:w="1800"/>
            <w:shd w:fill="D9EAF7"/>
            <w:vAlign w:val="center"/>
          </w:tcPr>
          <w:p>
            <w:r>
              <w:rPr>
                <w:b/>
                <w:color w:val="17365D"/>
                <w:sz w:val="18"/>
              </w:rPr>
              <w:t>Setting</w:t>
            </w:r>
          </w:p>
        </w:tc>
        <w:tc>
          <w:tcPr>
            <w:tcW w:type="dxa" w:w="3780"/>
            <w:shd w:fill="D9EAF7"/>
            <w:vAlign w:val="center"/>
          </w:tcPr>
          <w:p>
            <w:r>
              <w:rPr>
                <w:b/>
                <w:color w:val="17365D"/>
                <w:sz w:val="18"/>
              </w:rPr>
              <w:t>Primary</w:t>
            </w:r>
          </w:p>
        </w:tc>
        <w:tc>
          <w:tcPr>
            <w:tcW w:type="dxa" w:w="3780"/>
            <w:shd w:fill="D9EAF7"/>
            <w:vAlign w:val="center"/>
          </w:tcPr>
          <w:p>
            <w:r>
              <w:rPr>
                <w:b/>
                <w:color w:val="17365D"/>
                <w:sz w:val="18"/>
              </w:rPr>
              <w:t>Backup</w:t>
            </w:r>
          </w:p>
        </w:tc>
      </w:tr>
      <w:tr>
        <w:tc>
          <w:tcPr>
            <w:tcW w:type="dxa" w:w="1800"/>
            <w:vAlign w:val="top"/>
          </w:tcPr>
          <w:p>
            <w:pPr>
              <w:spacing w:after="60"/>
            </w:pPr>
            <w:r>
              <w:rPr>
                <w:sz w:val="17"/>
              </w:rPr>
              <w:t>Model</w:t>
            </w:r>
          </w:p>
        </w:tc>
        <w:tc>
          <w:tcPr>
            <w:tcW w:type="dxa" w:w="3780"/>
            <w:vAlign w:val="top"/>
          </w:tcPr>
          <w:p>
            <w:pPr>
              <w:spacing w:after="60"/>
            </w:pPr>
            <w:r>
              <w:rPr>
                <w:sz w:val="17"/>
              </w:rPr>
              <w:t>Qwen3.5 9B</w:t>
            </w:r>
          </w:p>
        </w:tc>
        <w:tc>
          <w:tcPr>
            <w:tcW w:type="dxa" w:w="3780"/>
            <w:vAlign w:val="top"/>
          </w:tcPr>
          <w:p>
            <w:pPr>
              <w:spacing w:after="60"/>
            </w:pPr>
            <w:r>
              <w:rPr>
                <w:sz w:val="17"/>
              </w:rPr>
              <w:t>Gemma 3 12B IT</w:t>
            </w:r>
          </w:p>
        </w:tc>
      </w:tr>
      <w:tr>
        <w:tc>
          <w:tcPr>
            <w:tcW w:type="dxa" w:w="1800"/>
            <w:vAlign w:val="top"/>
          </w:tcPr>
          <w:p>
            <w:pPr>
              <w:spacing w:after="60"/>
            </w:pPr>
            <w:r>
              <w:rPr>
                <w:sz w:val="17"/>
              </w:rPr>
              <w:t>Format</w:t>
            </w:r>
          </w:p>
        </w:tc>
        <w:tc>
          <w:tcPr>
            <w:tcW w:type="dxa" w:w="3780"/>
            <w:vAlign w:val="top"/>
          </w:tcPr>
          <w:p>
            <w:pPr>
              <w:spacing w:after="60"/>
            </w:pPr>
            <w:r>
              <w:rPr>
                <w:sz w:val="17"/>
              </w:rPr>
              <w:t>GGUF Q5_K_M</w:t>
            </w:r>
          </w:p>
        </w:tc>
        <w:tc>
          <w:tcPr>
            <w:tcW w:type="dxa" w:w="3780"/>
            <w:vAlign w:val="top"/>
          </w:tcPr>
          <w:p>
            <w:pPr>
              <w:spacing w:after="60"/>
            </w:pPr>
            <w:r>
              <w:rPr>
                <w:sz w:val="17"/>
              </w:rPr>
              <w:t>GGUF Q4_K_M</w:t>
            </w:r>
          </w:p>
        </w:tc>
      </w:tr>
      <w:tr>
        <w:tc>
          <w:tcPr>
            <w:tcW w:type="dxa" w:w="1800"/>
            <w:vAlign w:val="top"/>
          </w:tcPr>
          <w:p>
            <w:pPr>
              <w:spacing w:after="60"/>
            </w:pPr>
            <w:r>
              <w:rPr>
                <w:sz w:val="17"/>
              </w:rPr>
              <w:t>Runtime context</w:t>
            </w:r>
          </w:p>
        </w:tc>
        <w:tc>
          <w:tcPr>
            <w:tcW w:type="dxa" w:w="3780"/>
            <w:vAlign w:val="top"/>
          </w:tcPr>
          <w:p>
            <w:pPr>
              <w:spacing w:after="60"/>
            </w:pPr>
            <w:r>
              <w:rPr>
                <w:sz w:val="17"/>
              </w:rPr>
              <w:t>8,192 initially; raise only after measurement</w:t>
            </w:r>
          </w:p>
        </w:tc>
        <w:tc>
          <w:tcPr>
            <w:tcW w:type="dxa" w:w="3780"/>
            <w:vAlign w:val="top"/>
          </w:tcPr>
          <w:p>
            <w:pPr>
              <w:spacing w:after="60"/>
            </w:pPr>
            <w:r>
              <w:rPr>
                <w:sz w:val="17"/>
              </w:rPr>
              <w:t>8,192 initially</w:t>
            </w:r>
          </w:p>
        </w:tc>
      </w:tr>
      <w:tr>
        <w:tc>
          <w:tcPr>
            <w:tcW w:type="dxa" w:w="1800"/>
            <w:vAlign w:val="top"/>
          </w:tcPr>
          <w:p>
            <w:pPr>
              <w:spacing w:after="60"/>
            </w:pPr>
            <w:r>
              <w:rPr>
                <w:sz w:val="17"/>
              </w:rPr>
              <w:t>Generation mode</w:t>
            </w:r>
          </w:p>
        </w:tc>
        <w:tc>
          <w:tcPr>
            <w:tcW w:type="dxa" w:w="3780"/>
            <w:vAlign w:val="top"/>
          </w:tcPr>
          <w:p>
            <w:pPr>
              <w:spacing w:after="60"/>
            </w:pPr>
            <w:r>
              <w:rPr>
                <w:sz w:val="17"/>
              </w:rPr>
              <w:t>Direct/non-thinking for story; bounded thinking for plan/verifier</w:t>
            </w:r>
          </w:p>
        </w:tc>
        <w:tc>
          <w:tcPr>
            <w:tcW w:type="dxa" w:w="3780"/>
            <w:vAlign w:val="top"/>
          </w:tcPr>
          <w:p>
            <w:pPr>
              <w:spacing w:after="60"/>
            </w:pPr>
            <w:r>
              <w:rPr>
                <w:sz w:val="17"/>
              </w:rPr>
              <w:t>Instruction mode</w:t>
            </w:r>
          </w:p>
        </w:tc>
      </w:tr>
      <w:tr>
        <w:tc>
          <w:tcPr>
            <w:tcW w:type="dxa" w:w="1800"/>
            <w:vAlign w:val="top"/>
          </w:tcPr>
          <w:p>
            <w:pPr>
              <w:spacing w:after="60"/>
            </w:pPr>
            <w:r>
              <w:rPr>
                <w:sz w:val="17"/>
              </w:rPr>
              <w:t>Temperature</w:t>
            </w:r>
          </w:p>
        </w:tc>
        <w:tc>
          <w:tcPr>
            <w:tcW w:type="dxa" w:w="3780"/>
            <w:vAlign w:val="top"/>
          </w:tcPr>
          <w:p>
            <w:pPr>
              <w:spacing w:after="60"/>
            </w:pPr>
            <w:r>
              <w:rPr>
                <w:sz w:val="17"/>
              </w:rPr>
              <w:t>Plan 0.2; story 0.65; verifier 0.0</w:t>
            </w:r>
          </w:p>
        </w:tc>
        <w:tc>
          <w:tcPr>
            <w:tcW w:type="dxa" w:w="3780"/>
            <w:vAlign w:val="top"/>
          </w:tcPr>
          <w:p>
            <w:pPr>
              <w:spacing w:after="60"/>
            </w:pPr>
            <w:r>
              <w:rPr>
                <w:sz w:val="17"/>
              </w:rPr>
              <w:t>Same</w:t>
            </w:r>
          </w:p>
        </w:tc>
      </w:tr>
      <w:tr>
        <w:tc>
          <w:tcPr>
            <w:tcW w:type="dxa" w:w="1800"/>
            <w:vAlign w:val="top"/>
          </w:tcPr>
          <w:p>
            <w:pPr>
              <w:spacing w:after="60"/>
            </w:pPr>
            <w:r>
              <w:rPr>
                <w:sz w:val="17"/>
              </w:rPr>
              <w:t>GPU offload</w:t>
            </w:r>
          </w:p>
        </w:tc>
        <w:tc>
          <w:tcPr>
            <w:tcW w:type="dxa" w:w="3780"/>
            <w:vAlign w:val="top"/>
          </w:tcPr>
          <w:p>
            <w:pPr>
              <w:spacing w:after="60"/>
            </w:pPr>
            <w:r>
              <w:rPr>
                <w:sz w:val="17"/>
              </w:rPr>
              <w:t>All model layers when possible</w:t>
            </w:r>
          </w:p>
        </w:tc>
        <w:tc>
          <w:tcPr>
            <w:tcW w:type="dxa" w:w="3780"/>
            <w:vAlign w:val="top"/>
          </w:tcPr>
          <w:p>
            <w:pPr>
              <w:spacing w:after="60"/>
            </w:pPr>
            <w:r>
              <w:rPr>
                <w:sz w:val="17"/>
              </w:rPr>
              <w:t>All model layers when possible</w:t>
            </w:r>
          </w:p>
        </w:tc>
      </w:tr>
      <w:tr>
        <w:tc>
          <w:tcPr>
            <w:tcW w:type="dxa" w:w="1800"/>
            <w:vAlign w:val="top"/>
          </w:tcPr>
          <w:p>
            <w:pPr>
              <w:spacing w:after="60"/>
            </w:pPr>
            <w:r>
              <w:rPr>
                <w:sz w:val="17"/>
              </w:rPr>
              <w:t>Expected weight footprint</w:t>
            </w:r>
          </w:p>
        </w:tc>
        <w:tc>
          <w:tcPr>
            <w:tcW w:type="dxa" w:w="3780"/>
            <w:vAlign w:val="top"/>
          </w:tcPr>
          <w:p>
            <w:pPr>
              <w:spacing w:after="60"/>
            </w:pPr>
            <w:r>
              <w:rPr>
                <w:sz w:val="17"/>
              </w:rPr>
              <w:t>Approximately 6–8 GB plus cache/runtime overhead</w:t>
            </w:r>
          </w:p>
        </w:tc>
        <w:tc>
          <w:tcPr>
            <w:tcW w:type="dxa" w:w="3780"/>
            <w:vAlign w:val="top"/>
          </w:tcPr>
          <w:p>
            <w:pPr>
              <w:spacing w:after="60"/>
            </w:pPr>
            <w:r>
              <w:rPr>
                <w:sz w:val="17"/>
              </w:rPr>
              <w:t>Approximately 7–9 GB plus cache/runtime overhead</w:t>
            </w:r>
          </w:p>
        </w:tc>
      </w:tr>
      <w:tr>
        <w:tc>
          <w:tcPr>
            <w:tcW w:type="dxa" w:w="1800"/>
            <w:vAlign w:val="top"/>
          </w:tcPr>
          <w:p>
            <w:pPr>
              <w:spacing w:after="60"/>
            </w:pPr>
            <w:r>
              <w:rPr>
                <w:sz w:val="17"/>
              </w:rPr>
              <w:t>License gate</w:t>
            </w:r>
          </w:p>
        </w:tc>
        <w:tc>
          <w:tcPr>
            <w:tcW w:type="dxa" w:w="3780"/>
            <w:vAlign w:val="top"/>
          </w:tcPr>
          <w:p>
            <w:pPr>
              <w:spacing w:after="60"/>
            </w:pPr>
            <w:r>
              <w:rPr>
                <w:sz w:val="17"/>
              </w:rPr>
              <w:t>Record exact model and quantizer licenses before distribution</w:t>
            </w:r>
          </w:p>
        </w:tc>
        <w:tc>
          <w:tcPr>
            <w:tcW w:type="dxa" w:w="3780"/>
            <w:vAlign w:val="top"/>
          </w:tcPr>
          <w:p>
            <w:pPr>
              <w:spacing w:after="60"/>
            </w:pPr>
            <w:r>
              <w:rPr>
                <w:sz w:val="17"/>
              </w:rPr>
              <w:t>Accept Gemma terms and document redistribution obligations</w:t>
            </w:r>
          </w:p>
        </w:tc>
      </w:tr>
    </w:tbl>
    <w:p>
      <w:pPr>
        <w:spacing w:after="0"/>
      </w:pPr>
    </w:p>
    <w:p>
      <w:r>
        <w:t>Why not a larger model? For a single learner, predictable latency and full GPU residency matter more than marginal benchmark gains. RAG and verification supply the domain accuracy; the model supplies planning, pedagogy, and language. A 24B model that spills to system RAM can feel slower and less usable than a well-grounded 9B–14B model.</w:t>
      </w:r>
    </w:p>
    <w:p>
      <w:pPr>
        <w:pStyle w:val="Heading1"/>
      </w:pPr>
      <w:r>
        <w:t>4. Technology Stack</w:t>
      </w:r>
    </w:p>
    <w:tbl>
      <w:tblPr>
        <w:tblStyle w:val="TableGrid"/>
        <w:tblW w:type="dxa" w:w="9360"/>
        <w:jc w:val="left"/>
        <w:tblLayout w:type="fixed"/>
        <w:tblLook w:firstColumn="1" w:firstRow="1" w:lastColumn="0" w:lastRow="0" w:noHBand="0" w:noVBand="1" w:val="04A0"/>
        <w:tblInd w:w="120" w:type="dxa"/>
      </w:tblPr>
      <w:tblGrid>
        <w:gridCol w:w="1500"/>
        <w:gridCol w:w="2800"/>
        <w:gridCol w:w="5060"/>
      </w:tblGrid>
      <w:tr>
        <w:tc>
          <w:tcPr>
            <w:tcW w:type="dxa" w:w="1500"/>
            <w:shd w:fill="D9EAF7"/>
            <w:vAlign w:val="center"/>
          </w:tcPr>
          <w:p>
            <w:r>
              <w:rPr>
                <w:b/>
                <w:color w:val="17365D"/>
                <w:sz w:val="18"/>
              </w:rPr>
              <w:t>Layer</w:t>
            </w:r>
          </w:p>
        </w:tc>
        <w:tc>
          <w:tcPr>
            <w:tcW w:type="dxa" w:w="2800"/>
            <w:shd w:fill="D9EAF7"/>
            <w:vAlign w:val="center"/>
          </w:tcPr>
          <w:p>
            <w:r>
              <w:rPr>
                <w:b/>
                <w:color w:val="17365D"/>
                <w:sz w:val="18"/>
              </w:rPr>
              <w:t>Selection</w:t>
            </w:r>
          </w:p>
        </w:tc>
        <w:tc>
          <w:tcPr>
            <w:tcW w:type="dxa" w:w="5060"/>
            <w:shd w:fill="D9EAF7"/>
            <w:vAlign w:val="center"/>
          </w:tcPr>
          <w:p>
            <w:r>
              <w:rPr>
                <w:b/>
                <w:color w:val="17365D"/>
                <w:sz w:val="18"/>
              </w:rPr>
              <w:t>Why / placement</w:t>
            </w:r>
          </w:p>
        </w:tc>
      </w:tr>
      <w:tr>
        <w:tc>
          <w:tcPr>
            <w:tcW w:type="dxa" w:w="1500"/>
            <w:vAlign w:val="top"/>
          </w:tcPr>
          <w:p>
            <w:pPr>
              <w:spacing w:after="60"/>
            </w:pPr>
            <w:r>
              <w:rPr>
                <w:sz w:val="17"/>
              </w:rPr>
              <w:t>Frontend</w:t>
            </w:r>
          </w:p>
        </w:tc>
        <w:tc>
          <w:tcPr>
            <w:tcW w:type="dxa" w:w="2800"/>
            <w:vAlign w:val="top"/>
          </w:tcPr>
          <w:p>
            <w:pPr>
              <w:spacing w:after="60"/>
            </w:pPr>
            <w:r>
              <w:rPr>
                <w:sz w:val="17"/>
              </w:rPr>
              <w:t>React + TypeScript + Vite; responsive PWA</w:t>
            </w:r>
          </w:p>
        </w:tc>
        <w:tc>
          <w:tcPr>
            <w:tcW w:type="dxa" w:w="5060"/>
            <w:vAlign w:val="top"/>
          </w:tcPr>
          <w:p>
            <w:pPr>
              <w:spacing w:after="60"/>
            </w:pPr>
            <w:r>
              <w:rPr>
                <w:sz w:val="17"/>
              </w:rPr>
              <w:t>Dell: fast local UI, offline static assets, maintainable component model.</w:t>
            </w:r>
          </w:p>
        </w:tc>
      </w:tr>
      <w:tr>
        <w:tc>
          <w:tcPr>
            <w:tcW w:type="dxa" w:w="1500"/>
            <w:vAlign w:val="top"/>
          </w:tcPr>
          <w:p>
            <w:pPr>
              <w:spacing w:after="60"/>
            </w:pPr>
            <w:r>
              <w:rPr>
                <w:sz w:val="17"/>
              </w:rPr>
              <w:t>Backend</w:t>
            </w:r>
          </w:p>
        </w:tc>
        <w:tc>
          <w:tcPr>
            <w:tcW w:type="dxa" w:w="2800"/>
            <w:vAlign w:val="top"/>
          </w:tcPr>
          <w:p>
            <w:pPr>
              <w:spacing w:after="60"/>
            </w:pPr>
            <w:r>
              <w:rPr>
                <w:sz w:val="17"/>
              </w:rPr>
              <w:t>Python 3.12 + FastAPI + Pydantic</w:t>
            </w:r>
          </w:p>
        </w:tc>
        <w:tc>
          <w:tcPr>
            <w:tcW w:type="dxa" w:w="5060"/>
            <w:vAlign w:val="top"/>
          </w:tcPr>
          <w:p>
            <w:pPr>
              <w:spacing w:after="60"/>
            </w:pPr>
            <w:r>
              <w:rPr>
                <w:sz w:val="17"/>
              </w:rPr>
              <w:t>Dell: orchestration, typed contracts, streaming API.</w:t>
            </w:r>
          </w:p>
        </w:tc>
      </w:tr>
      <w:tr>
        <w:tc>
          <w:tcPr>
            <w:tcW w:type="dxa" w:w="1500"/>
            <w:vAlign w:val="top"/>
          </w:tcPr>
          <w:p>
            <w:pPr>
              <w:spacing w:after="60"/>
            </w:pPr>
            <w:r>
              <w:rPr>
                <w:sz w:val="17"/>
              </w:rPr>
              <w:t>LLM runtime</w:t>
            </w:r>
          </w:p>
        </w:tc>
        <w:tc>
          <w:tcPr>
            <w:tcW w:type="dxa" w:w="2800"/>
            <w:vAlign w:val="top"/>
          </w:tcPr>
          <w:p>
            <w:pPr>
              <w:spacing w:after="60"/>
            </w:pPr>
            <w:r>
              <w:rPr>
                <w:sz w:val="17"/>
              </w:rPr>
              <w:t>llama.cpp server (OpenAI-compatible); optional Ollama adapter</w:t>
            </w:r>
          </w:p>
        </w:tc>
        <w:tc>
          <w:tcPr>
            <w:tcW w:type="dxa" w:w="5060"/>
            <w:vAlign w:val="top"/>
          </w:tcPr>
          <w:p>
            <w:pPr>
              <w:spacing w:after="60"/>
            </w:pPr>
            <w:r>
              <w:rPr>
                <w:sz w:val="17"/>
              </w:rPr>
              <w:t>RTX PC only: best control over GGUF and GPU layers; stable network boundary.</w:t>
            </w:r>
          </w:p>
        </w:tc>
      </w:tr>
      <w:tr>
        <w:tc>
          <w:tcPr>
            <w:tcW w:type="dxa" w:w="1500"/>
            <w:vAlign w:val="top"/>
          </w:tcPr>
          <w:p>
            <w:pPr>
              <w:spacing w:after="60"/>
            </w:pPr>
            <w:r>
              <w:rPr>
                <w:sz w:val="17"/>
              </w:rPr>
              <w:t>Embedding</w:t>
            </w:r>
          </w:p>
        </w:tc>
        <w:tc>
          <w:tcPr>
            <w:tcW w:type="dxa" w:w="2800"/>
            <w:vAlign w:val="top"/>
          </w:tcPr>
          <w:p>
            <w:pPr>
              <w:spacing w:after="60"/>
            </w:pPr>
            <w:r>
              <w:rPr>
                <w:sz w:val="17"/>
              </w:rPr>
              <w:t>Qwen3-Embedding-0.6B or BGE-M3 after benchmark</w:t>
            </w:r>
          </w:p>
        </w:tc>
        <w:tc>
          <w:tcPr>
            <w:tcW w:type="dxa" w:w="5060"/>
            <w:vAlign w:val="top"/>
          </w:tcPr>
          <w:p>
            <w:pPr>
              <w:spacing w:after="60"/>
            </w:pPr>
            <w:r>
              <w:rPr>
                <w:sz w:val="17"/>
              </w:rPr>
              <w:t>RTX PC model service; Dell stores returned vectors. Choose by Indian-language tests.</w:t>
            </w:r>
          </w:p>
        </w:tc>
      </w:tr>
      <w:tr>
        <w:tc>
          <w:tcPr>
            <w:tcW w:type="dxa" w:w="1500"/>
            <w:vAlign w:val="top"/>
          </w:tcPr>
          <w:p>
            <w:pPr>
              <w:spacing w:after="60"/>
            </w:pPr>
            <w:r>
              <w:rPr>
                <w:sz w:val="17"/>
              </w:rPr>
              <w:t>Reranker</w:t>
            </w:r>
          </w:p>
        </w:tc>
        <w:tc>
          <w:tcPr>
            <w:tcW w:type="dxa" w:w="2800"/>
            <w:vAlign w:val="top"/>
          </w:tcPr>
          <w:p>
            <w:pPr>
              <w:spacing w:after="60"/>
            </w:pPr>
            <w:r>
              <w:rPr>
                <w:sz w:val="17"/>
              </w:rPr>
              <w:t>None initially; add BGE reranker only if retrieval evaluation fails</w:t>
            </w:r>
          </w:p>
        </w:tc>
        <w:tc>
          <w:tcPr>
            <w:tcW w:type="dxa" w:w="5060"/>
            <w:vAlign w:val="top"/>
          </w:tcPr>
          <w:p>
            <w:pPr>
              <w:spacing w:after="60"/>
            </w:pPr>
            <w:r>
              <w:rPr>
                <w:sz w:val="17"/>
              </w:rPr>
              <w:t>Avoid another model and LAN hop before evidence shows need.</w:t>
            </w:r>
          </w:p>
        </w:tc>
      </w:tr>
      <w:tr>
        <w:tc>
          <w:tcPr>
            <w:tcW w:type="dxa" w:w="1500"/>
            <w:vAlign w:val="top"/>
          </w:tcPr>
          <w:p>
            <w:pPr>
              <w:spacing w:after="60"/>
            </w:pPr>
            <w:r>
              <w:rPr>
                <w:sz w:val="17"/>
              </w:rPr>
              <w:t>Vector search</w:t>
            </w:r>
          </w:p>
        </w:tc>
        <w:tc>
          <w:tcPr>
            <w:tcW w:type="dxa" w:w="2800"/>
            <w:vAlign w:val="top"/>
          </w:tcPr>
          <w:p>
            <w:pPr>
              <w:spacing w:after="60"/>
            </w:pPr>
            <w:r>
              <w:rPr>
                <w:sz w:val="17"/>
              </w:rPr>
              <w:t>SQLite + sqlite-vec (or FAISS fallback)</w:t>
            </w:r>
          </w:p>
        </w:tc>
        <w:tc>
          <w:tcPr>
            <w:tcW w:type="dxa" w:w="5060"/>
            <w:vAlign w:val="top"/>
          </w:tcPr>
          <w:p>
            <w:pPr>
              <w:spacing w:after="60"/>
            </w:pPr>
            <w:r>
              <w:rPr>
                <w:sz w:val="17"/>
              </w:rPr>
              <w:t>Dell: embedded, backup-friendly; source text never resides permanently on model PC.</w:t>
            </w:r>
          </w:p>
        </w:tc>
      </w:tr>
      <w:tr>
        <w:tc>
          <w:tcPr>
            <w:tcW w:type="dxa" w:w="1500"/>
            <w:vAlign w:val="top"/>
          </w:tcPr>
          <w:p>
            <w:pPr>
              <w:spacing w:after="60"/>
            </w:pPr>
            <w:r>
              <w:rPr>
                <w:sz w:val="17"/>
              </w:rPr>
              <w:t>Operational database</w:t>
            </w:r>
          </w:p>
        </w:tc>
        <w:tc>
          <w:tcPr>
            <w:tcW w:type="dxa" w:w="2800"/>
            <w:vAlign w:val="top"/>
          </w:tcPr>
          <w:p>
            <w:pPr>
              <w:spacing w:after="60"/>
            </w:pPr>
            <w:r>
              <w:rPr>
                <w:sz w:val="17"/>
              </w:rPr>
              <w:t>SQLite in WAL mode</w:t>
            </w:r>
          </w:p>
        </w:tc>
        <w:tc>
          <w:tcPr>
            <w:tcW w:type="dxa" w:w="5060"/>
            <w:vAlign w:val="top"/>
          </w:tcPr>
          <w:p>
            <w:pPr>
              <w:spacing w:after="60"/>
            </w:pPr>
            <w:r>
              <w:rPr>
                <w:sz w:val="17"/>
              </w:rPr>
              <w:t>Dell: profiles, history, attempts, content metadata.</w:t>
            </w:r>
          </w:p>
        </w:tc>
      </w:tr>
      <w:tr>
        <w:tc>
          <w:tcPr>
            <w:tcW w:type="dxa" w:w="1500"/>
            <w:vAlign w:val="top"/>
          </w:tcPr>
          <w:p>
            <w:pPr>
              <w:spacing w:after="60"/>
            </w:pPr>
            <w:r>
              <w:rPr>
                <w:sz w:val="17"/>
              </w:rPr>
              <w:t>Authentication</w:t>
            </w:r>
          </w:p>
        </w:tc>
        <w:tc>
          <w:tcPr>
            <w:tcW w:type="dxa" w:w="2800"/>
            <w:vAlign w:val="top"/>
          </w:tcPr>
          <w:p>
            <w:pPr>
              <w:spacing w:after="60"/>
            </w:pPr>
            <w:r>
              <w:rPr>
                <w:sz w:val="17"/>
              </w:rPr>
              <w:t>Student PIN plus separate model-service API key</w:t>
            </w:r>
          </w:p>
        </w:tc>
        <w:tc>
          <w:tcPr>
            <w:tcW w:type="dxa" w:w="5060"/>
            <w:vAlign w:val="top"/>
          </w:tcPr>
          <w:p>
            <w:pPr>
              <w:spacing w:after="60"/>
            </w:pPr>
            <w:r>
              <w:rPr>
                <w:sz w:val="17"/>
              </w:rPr>
              <w:t>Dell protects UI; PC accepts model requests only from Dell.</w:t>
            </w:r>
          </w:p>
        </w:tc>
      </w:tr>
      <w:tr>
        <w:tc>
          <w:tcPr>
            <w:tcW w:type="dxa" w:w="1500"/>
            <w:vAlign w:val="top"/>
          </w:tcPr>
          <w:p>
            <w:pPr>
              <w:spacing w:after="60"/>
            </w:pPr>
            <w:r>
              <w:rPr>
                <w:sz w:val="17"/>
              </w:rPr>
              <w:t>Speech</w:t>
            </w:r>
          </w:p>
        </w:tc>
        <w:tc>
          <w:tcPr>
            <w:tcW w:type="dxa" w:w="2800"/>
            <w:vAlign w:val="top"/>
          </w:tcPr>
          <w:p>
            <w:pPr>
              <w:spacing w:after="60"/>
            </w:pPr>
            <w:r>
              <w:rPr>
                <w:sz w:val="17"/>
              </w:rPr>
              <w:t>Postponed; future faster-whisper + Piper/Indic TTS</w:t>
            </w:r>
          </w:p>
        </w:tc>
        <w:tc>
          <w:tcPr>
            <w:tcW w:type="dxa" w:w="5060"/>
            <w:vAlign w:val="top"/>
          </w:tcPr>
          <w:p>
            <w:pPr>
              <w:spacing w:after="60"/>
            </w:pPr>
            <w:r>
              <w:rPr>
                <w:sz w:val="17"/>
              </w:rPr>
              <w:t>Place on RTX PC if added; not required for MVP.</w:t>
            </w:r>
          </w:p>
        </w:tc>
      </w:tr>
      <w:tr>
        <w:tc>
          <w:tcPr>
            <w:tcW w:type="dxa" w:w="1500"/>
            <w:vAlign w:val="top"/>
          </w:tcPr>
          <w:p>
            <w:pPr>
              <w:spacing w:after="60"/>
            </w:pPr>
            <w:r>
              <w:rPr>
                <w:sz w:val="17"/>
              </w:rPr>
              <w:t>Deployment</w:t>
            </w:r>
          </w:p>
        </w:tc>
        <w:tc>
          <w:tcPr>
            <w:tcW w:type="dxa" w:w="2800"/>
            <w:vAlign w:val="top"/>
          </w:tcPr>
          <w:p>
            <w:pPr>
              <w:spacing w:after="60"/>
            </w:pPr>
            <w:r>
              <w:rPr>
                <w:sz w:val="17"/>
              </w:rPr>
              <w:t>Dell application service + RTX PC model service over private LAN</w:t>
            </w:r>
          </w:p>
        </w:tc>
        <w:tc>
          <w:tcPr>
            <w:tcW w:type="dxa" w:w="5060"/>
            <w:vAlign w:val="top"/>
          </w:tcPr>
          <w:p>
            <w:pPr>
              <w:spacing w:after="60"/>
            </w:pPr>
            <w:r>
              <w:rPr>
                <w:sz w:val="17"/>
              </w:rPr>
              <w:t>Clear operational separation and independent startup checks.</w:t>
            </w:r>
          </w:p>
        </w:tc>
      </w:tr>
      <w:tr>
        <w:tc>
          <w:tcPr>
            <w:tcW w:type="dxa" w:w="1500"/>
            <w:vAlign w:val="top"/>
          </w:tcPr>
          <w:p>
            <w:pPr>
              <w:spacing w:after="60"/>
            </w:pPr>
            <w:r>
              <w:rPr>
                <w:sz w:val="17"/>
              </w:rPr>
              <w:t>Monitoring</w:t>
            </w:r>
          </w:p>
        </w:tc>
        <w:tc>
          <w:tcPr>
            <w:tcW w:type="dxa" w:w="2800"/>
            <w:vAlign w:val="top"/>
          </w:tcPr>
          <w:p>
            <w:pPr>
              <w:spacing w:after="60"/>
            </w:pPr>
            <w:r>
              <w:rPr>
                <w:sz w:val="17"/>
              </w:rPr>
              <w:t>Structured logs on both machines; Dell health page polls model host</w:t>
            </w:r>
          </w:p>
        </w:tc>
        <w:tc>
          <w:tcPr>
            <w:tcW w:type="dxa" w:w="5060"/>
            <w:vAlign w:val="top"/>
          </w:tcPr>
          <w:p>
            <w:pPr>
              <w:spacing w:after="60"/>
            </w:pPr>
            <w:r>
              <w:rPr>
                <w:sz w:val="17"/>
              </w:rPr>
              <w:t>Private, no SaaS; captures LAN and model failures.</w:t>
            </w:r>
          </w:p>
        </w:tc>
      </w:tr>
      <w:tr>
        <w:tc>
          <w:tcPr>
            <w:tcW w:type="dxa" w:w="1500"/>
            <w:vAlign w:val="top"/>
          </w:tcPr>
          <w:p>
            <w:pPr>
              <w:spacing w:after="60"/>
            </w:pPr>
            <w:r>
              <w:rPr>
                <w:sz w:val="17"/>
              </w:rPr>
              <w:t>Prompt management</w:t>
            </w:r>
          </w:p>
        </w:tc>
        <w:tc>
          <w:tcPr>
            <w:tcW w:type="dxa" w:w="2800"/>
            <w:vAlign w:val="top"/>
          </w:tcPr>
          <w:p>
            <w:pPr>
              <w:spacing w:after="60"/>
            </w:pPr>
            <w:r>
              <w:rPr>
                <w:sz w:val="17"/>
              </w:rPr>
              <w:t>Versioned YAML/Markdown templates on Dell</w:t>
            </w:r>
          </w:p>
        </w:tc>
        <w:tc>
          <w:tcPr>
            <w:tcW w:type="dxa" w:w="5060"/>
            <w:vAlign w:val="top"/>
          </w:tcPr>
          <w:p>
            <w:pPr>
              <w:spacing w:after="60"/>
            </w:pPr>
            <w:r>
              <w:rPr>
                <w:sz w:val="17"/>
              </w:rPr>
              <w:t>Reviewable and reproducible; prompts sent per request.</w:t>
            </w:r>
          </w:p>
        </w:tc>
      </w:tr>
      <w:tr>
        <w:tc>
          <w:tcPr>
            <w:tcW w:type="dxa" w:w="1500"/>
            <w:vAlign w:val="top"/>
          </w:tcPr>
          <w:p>
            <w:pPr>
              <w:spacing w:after="60"/>
            </w:pPr>
            <w:r>
              <w:rPr>
                <w:sz w:val="17"/>
              </w:rPr>
              <w:t>Testing</w:t>
            </w:r>
          </w:p>
        </w:tc>
        <w:tc>
          <w:tcPr>
            <w:tcW w:type="dxa" w:w="2800"/>
            <w:vAlign w:val="top"/>
          </w:tcPr>
          <w:p>
            <w:pPr>
              <w:spacing w:after="60"/>
            </w:pPr>
            <w:r>
              <w:rPr>
                <w:sz w:val="17"/>
              </w:rPr>
              <w:t>pytest, Playwright, golden evaluation dataset</w:t>
            </w:r>
          </w:p>
        </w:tc>
        <w:tc>
          <w:tcPr>
            <w:tcW w:type="dxa" w:w="5060"/>
            <w:vAlign w:val="top"/>
          </w:tcPr>
          <w:p>
            <w:pPr>
              <w:spacing w:after="60"/>
            </w:pPr>
            <w:r>
              <w:rPr>
                <w:sz w:val="17"/>
              </w:rPr>
              <w:t>Includes network loss, timeout, unauthorized host, and model-PC restart tests.</w:t>
            </w:r>
          </w:p>
        </w:tc>
      </w:tr>
    </w:tbl>
    <w:p>
      <w:pPr>
        <w:spacing w:after="0"/>
      </w:pPr>
    </w:p>
    <w:p>
      <w:pPr>
        <w:pStyle w:val="Heading1"/>
      </w:pPr>
      <w:r>
        <w:t>5. System Architecture</w:t>
      </w:r>
    </w:p>
    <w:p>
      <w:pPr>
        <w:pStyle w:val="KeyCallout"/>
      </w:pPr>
      <w:r>
        <w:rPr>
          <w:rFonts w:ascii="Consolas" w:hAnsi="Consolas"/>
          <w:sz w:val="16"/>
        </w:rPr>
        <w:t>DELL LAPTOP - APPLICATION + DEVELOPMENT HOST</w:t>
        <w:br/>
        <w:t xml:space="preserve">  STUDENT BROWSER (PWA)</w:t>
        <w:br/>
        <w:t xml:space="preserve">        |  localhost / optional home-LAN HTTPS</w:t>
        <w:br/>
        <w:t xml:space="preserve">        v</w:t>
        <w:br/>
        <w:t xml:space="preserve">  FASTAPI APPLICATION</w:t>
        <w:br/>
        <w:t xml:space="preserve">    +-- Lesson API / profile / mastery --&gt; SQLite</w:t>
        <w:br/>
        <w:t xml:space="preserve">    +-- Context memory manager ---------&gt; summaries + episodic memory</w:t>
        <w:br/>
        <w:t xml:space="preserve">    +-- Retrieval service --------------&gt; sqlite-vec (chunks + vectors)</w:t>
        <w:br/>
        <w:t xml:space="preserve">    |         ^</w:t>
        <w:br/>
        <w:t xml:space="preserve">    |         +---- Content ingestion &lt;---- Approved source files</w:t>
        <w:br/>
        <w:t xml:space="preserve">    +-- Tutor orchestrator / policy gate</w:t>
        <w:br/>
        <w:t xml:space="preserve">        |</w:t>
        <w:br/>
        <w:t xml:space="preserve">        | authenticated private-LAN model API</w:t>
        <w:br/>
        <w:t xml:space="preserve">        | bounded evidence + compact context only; no database access</w:t>
        <w:br/>
        <w:t xml:space="preserve">        v</w:t>
        <w:br/>
        <w:t>RTX 5070 Ti PC - DEDICATED MODEL HOST</w:t>
        <w:br/>
        <w:t xml:space="preserve">  Firewall: allow Dell IP only</w:t>
        <w:br/>
        <w:t xml:space="preserve">  +-- Model gateway / OpenAI-compatible endpoint</w:t>
        <w:br/>
        <w:t xml:space="preserve">  +-- Qwen3.5 or Gemma generation model</w:t>
        <w:br/>
        <w:t xml:space="preserve">  +-- Embedding model</w:t>
        <w:br/>
        <w:t xml:space="preserve">  +-- GPU health and model-process logs</w:t>
        <w:br/>
        <w:t xml:space="preserve">        |</w:t>
        <w:br/>
        <w:t xml:space="preserve">        +---- plan / draft / verification / embeddings ----&gt; Dell</w:t>
        <w:br/>
        <w:br/>
        <w:t>DELL PUBLICATION GATE: PASS / REPAIR / REFUSE</w:t>
        <w:br/>
        <w:t>DELL OFFLINE CACHE: previously verified lessons remain readable</w:t>
      </w:r>
    </w:p>
    <w:p>
      <w:pPr>
        <w:pStyle w:val="Heading2"/>
      </w:pPr>
      <w:r>
        <w:t>5.1 Module boundaries</w:t>
      </w:r>
    </w:p>
    <w:p>
      <w:pPr>
        <w:pStyle w:val="ListBullet"/>
        <w:spacing w:after="60"/>
      </w:pPr>
      <w:r>
        <w:t>The frontend never calls the model PC directly; only the Dell backend can reach it.</w:t>
      </w:r>
    </w:p>
    <w:p>
      <w:pPr>
        <w:pStyle w:val="ListBullet"/>
        <w:spacing w:after="60"/>
      </w:pPr>
      <w:r>
        <w:t>The RTX PC exposes generation and embedding endpoints only. It has no direct access to the Dell database, learner profile, source folders, or vector store.</w:t>
      </w:r>
    </w:p>
    <w:p>
      <w:pPr>
        <w:pStyle w:val="ListBullet"/>
        <w:spacing w:after="60"/>
      </w:pPr>
      <w:r>
        <w:t>The Dell model client uses a fixed private IP or local DNS name, an API key, connect/read timeouts, bounded retries, and a circuit breaker.</w:t>
      </w:r>
    </w:p>
    <w:p>
      <w:pPr>
        <w:pStyle w:val="ListBullet"/>
        <w:spacing w:after="60"/>
      </w:pPr>
      <w:r>
        <w:t>Retrieval returns immutable evidence packets with chunk IDs, source IDs, page/section, dates, and scores.</w:t>
      </w:r>
    </w:p>
    <w:p>
      <w:pPr>
        <w:pStyle w:val="ListBullet"/>
        <w:spacing w:after="60"/>
      </w:pPr>
      <w:r>
        <w:t>The context memory manager builds a compact request-specific pack from the profile, rolling summary, relevant weak topics, and unresolved questions. Full chat history is never sent by default.</w:t>
      </w:r>
    </w:p>
    <w:p>
      <w:pPr>
        <w:pStyle w:val="ListBullet"/>
        <w:spacing w:after="60"/>
      </w:pPr>
      <w:r>
        <w:t>The orchestrator sends only bounded evidence and the minimum learner preferences needed for adaptation.</w:t>
      </w:r>
    </w:p>
    <w:p>
      <w:pPr>
        <w:pStyle w:val="ListBullet"/>
        <w:spacing w:after="60"/>
      </w:pPr>
      <w:r>
        <w:t>The verifier returns claim-level verdicts and repair instructions; the Dell owns the final publication decision.</w:t>
      </w:r>
    </w:p>
    <w:p>
      <w:pPr>
        <w:pStyle w:val="ListBullet"/>
        <w:spacing w:after="60"/>
      </w:pPr>
      <w:r>
        <w:t>Persistence on the Dell stores the final lesson, evidence IDs, context-pack IDs, model/config versions, and verifier result.</w:t>
      </w:r>
    </w:p>
    <w:p>
      <w:pPr>
        <w:pStyle w:val="Heading2"/>
      </w:pPr>
      <w:r>
        <w:t>5.2 Network migration path</w:t>
      </w:r>
    </w:p>
    <w:tbl>
      <w:tblPr>
        <w:tblStyle w:val="TableGrid"/>
        <w:tblW w:type="dxa" w:w="9360"/>
        <w:jc w:val="left"/>
        <w:tblLayout w:type="fixed"/>
        <w:tblLook w:firstColumn="1" w:firstRow="1" w:lastColumn="0" w:lastRow="0" w:noHBand="0" w:noVBand="1" w:val="04A0"/>
        <w:tblInd w:w="120" w:type="dxa"/>
      </w:tblPr>
      <w:tblGrid>
        <w:gridCol w:w="1700"/>
        <w:gridCol w:w="3400"/>
        <w:gridCol w:w="4260"/>
      </w:tblGrid>
      <w:tr>
        <w:tc>
          <w:tcPr>
            <w:tcW w:type="dxa" w:w="1700"/>
            <w:shd w:fill="D9EAF7"/>
            <w:vAlign w:val="center"/>
          </w:tcPr>
          <w:p>
            <w:r>
              <w:rPr>
                <w:b/>
                <w:color w:val="17365D"/>
                <w:sz w:val="18"/>
              </w:rPr>
              <w:t>Stage</w:t>
            </w:r>
          </w:p>
        </w:tc>
        <w:tc>
          <w:tcPr>
            <w:tcW w:type="dxa" w:w="3400"/>
            <w:shd w:fill="D9EAF7"/>
            <w:vAlign w:val="center"/>
          </w:tcPr>
          <w:p>
            <w:r>
              <w:rPr>
                <w:b/>
                <w:color w:val="17365D"/>
                <w:sz w:val="18"/>
              </w:rPr>
              <w:t>Topology</w:t>
            </w:r>
          </w:p>
        </w:tc>
        <w:tc>
          <w:tcPr>
            <w:tcW w:type="dxa" w:w="4260"/>
            <w:shd w:fill="D9EAF7"/>
            <w:vAlign w:val="center"/>
          </w:tcPr>
          <w:p>
            <w:r>
              <w:rPr>
                <w:b/>
                <w:color w:val="17365D"/>
                <w:sz w:val="18"/>
              </w:rPr>
              <w:t>Security</w:t>
            </w:r>
          </w:p>
        </w:tc>
      </w:tr>
      <w:tr>
        <w:tc>
          <w:tcPr>
            <w:tcW w:type="dxa" w:w="1700"/>
            <w:vAlign w:val="top"/>
          </w:tcPr>
          <w:p>
            <w:pPr>
              <w:spacing w:after="60"/>
            </w:pPr>
            <w:r>
              <w:rPr>
                <w:sz w:val="17"/>
              </w:rPr>
              <w:t>Two-machine MVP</w:t>
            </w:r>
          </w:p>
        </w:tc>
        <w:tc>
          <w:tcPr>
            <w:tcW w:type="dxa" w:w="3400"/>
            <w:vAlign w:val="top"/>
          </w:tcPr>
          <w:p>
            <w:pPr>
              <w:spacing w:after="60"/>
            </w:pPr>
            <w:r>
              <w:rPr>
                <w:sz w:val="17"/>
              </w:rPr>
              <w:t>Dell application calls RTX PC model endpoint over private home LAN; neither requires internet.</w:t>
            </w:r>
          </w:p>
        </w:tc>
        <w:tc>
          <w:tcPr>
            <w:tcW w:type="dxa" w:w="4260"/>
            <w:vAlign w:val="top"/>
          </w:tcPr>
          <w:p>
            <w:pPr>
              <w:spacing w:after="60"/>
            </w:pPr>
            <w:r>
              <w:rPr>
                <w:sz w:val="17"/>
              </w:rPr>
              <w:t>RTX firewall allows only Dell fixed IP; API key; model port never forwarded by router.</w:t>
            </w:r>
          </w:p>
        </w:tc>
      </w:tr>
      <w:tr>
        <w:tc>
          <w:tcPr>
            <w:tcW w:type="dxa" w:w="1700"/>
            <w:vAlign w:val="top"/>
          </w:tcPr>
          <w:p>
            <w:pPr>
              <w:spacing w:after="60"/>
            </w:pPr>
            <w:r>
              <w:rPr>
                <w:sz w:val="17"/>
              </w:rPr>
              <w:t>Home Wi-Fi learner access</w:t>
            </w:r>
          </w:p>
        </w:tc>
        <w:tc>
          <w:tcPr>
            <w:tcW w:type="dxa" w:w="3400"/>
            <w:vAlign w:val="top"/>
          </w:tcPr>
          <w:p>
            <w:pPr>
              <w:spacing w:after="60"/>
            </w:pPr>
            <w:r>
              <w:rPr>
                <w:sz w:val="17"/>
              </w:rPr>
              <w:t>Phone/tablet reaches only Dell through Caddy; Dell privately reaches RTX PC.</w:t>
            </w:r>
          </w:p>
        </w:tc>
        <w:tc>
          <w:tcPr>
            <w:tcW w:type="dxa" w:w="4260"/>
            <w:vAlign w:val="top"/>
          </w:tcPr>
          <w:p>
            <w:pPr>
              <w:spacing w:after="60"/>
            </w:pPr>
            <w:r>
              <w:rPr>
                <w:sz w:val="17"/>
              </w:rPr>
              <w:t>HTTPS with local CA, strong password, rate limit; two distinct firewall rules.</w:t>
            </w:r>
          </w:p>
        </w:tc>
      </w:tr>
      <w:tr>
        <w:tc>
          <w:tcPr>
            <w:tcW w:type="dxa" w:w="1700"/>
            <w:vAlign w:val="top"/>
          </w:tcPr>
          <w:p>
            <w:pPr>
              <w:spacing w:after="60"/>
            </w:pPr>
            <w:r>
              <w:rPr>
                <w:sz w:val="17"/>
              </w:rPr>
              <w:t>Model PC unavailable</w:t>
            </w:r>
          </w:p>
        </w:tc>
        <w:tc>
          <w:tcPr>
            <w:tcW w:type="dxa" w:w="3400"/>
            <w:vAlign w:val="top"/>
          </w:tcPr>
          <w:p>
            <w:pPr>
              <w:spacing w:after="60"/>
            </w:pPr>
            <w:r>
              <w:rPr>
                <w:sz w:val="17"/>
              </w:rPr>
              <w:t>Dell serves history and cached verified lessons; new generation is disabled with a clear health message.</w:t>
            </w:r>
          </w:p>
        </w:tc>
        <w:tc>
          <w:tcPr>
            <w:tcW w:type="dxa" w:w="4260"/>
            <w:vAlign w:val="top"/>
          </w:tcPr>
          <w:p>
            <w:pPr>
              <w:spacing w:after="60"/>
            </w:pPr>
            <w:r>
              <w:rPr>
                <w:sz w:val="17"/>
              </w:rPr>
              <w:t>Short timeout and circuit breaker; never fall back to an external model.</w:t>
            </w:r>
          </w:p>
        </w:tc>
      </w:tr>
      <w:tr>
        <w:tc>
          <w:tcPr>
            <w:tcW w:type="dxa" w:w="1700"/>
            <w:vAlign w:val="top"/>
          </w:tcPr>
          <w:p>
            <w:pPr>
              <w:spacing w:after="60"/>
            </w:pPr>
            <w:r>
              <w:rPr>
                <w:sz w:val="17"/>
              </w:rPr>
              <w:t>Free public domain</w:t>
            </w:r>
          </w:p>
        </w:tc>
        <w:tc>
          <w:tcPr>
            <w:tcW w:type="dxa" w:w="3400"/>
            <w:vAlign w:val="top"/>
          </w:tcPr>
          <w:p>
            <w:pPr>
              <w:spacing w:after="60"/>
            </w:pPr>
            <w:r>
              <w:rPr>
                <w:sz w:val="17"/>
              </w:rPr>
              <w:t>Static frontend alone may be free, but safely reaching a home Dell/model PC requires a separate reviewed design.</w:t>
            </w:r>
          </w:p>
        </w:tc>
        <w:tc>
          <w:tcPr>
            <w:tcW w:type="dxa" w:w="4260"/>
            <w:vAlign w:val="top"/>
          </w:tcPr>
          <w:p>
            <w:pPr>
              <w:spacing w:after="60"/>
            </w:pPr>
            <w:r>
              <w:rPr>
                <w:sz w:val="17"/>
              </w:rPr>
              <w:t>Do not expose either machine or model port directly. Real identity, TLS, abuse controls, backups, and privacy notice are required.</w:t>
            </w:r>
          </w:p>
        </w:tc>
      </w:tr>
    </w:tbl>
    <w:p>
      <w:pPr>
        <w:spacing w:after="0"/>
      </w:pPr>
    </w:p>
    <w:p>
      <w:pPr>
        <w:pStyle w:val="Heading1"/>
      </w:pPr>
      <w:r>
        <w:t>6. Data Flow and Contracts</w:t>
      </w:r>
    </w:p>
    <w:p>
      <w:pPr>
        <w:pStyle w:val="ListNumber"/>
        <w:spacing w:after="60"/>
      </w:pPr>
      <w:r>
        <w:t>Request normalization: validate concept, subject, language, level (10–28), lesson duration, and profile ID.</w:t>
      </w:r>
    </w:p>
    <w:p>
      <w:pPr>
        <w:pStyle w:val="ListNumber"/>
        <w:spacing w:after="60"/>
      </w:pPr>
      <w:r>
        <w:t>Syllabus resolution: map free text to a canonical concept ID and explicit learning objectives.</w:t>
      </w:r>
    </w:p>
    <w:p>
      <w:pPr>
        <w:pStyle w:val="ListNumber"/>
        <w:spacing w:after="60"/>
      </w:pPr>
      <w:r>
        <w:t>Evidence retrieval: hybrid lexical + vector search, filter by subject, syllabus version, authority tier, language, and effective date.</w:t>
      </w:r>
    </w:p>
    <w:p>
      <w:pPr>
        <w:pStyle w:val="ListNumber"/>
        <w:spacing w:after="60"/>
      </w:pPr>
      <w:r>
        <w:t>Evidence sufficiency: require coverage for each learning objective and minimum retrieval score; otherwise stop.</w:t>
      </w:r>
    </w:p>
    <w:p>
      <w:pPr>
        <w:pStyle w:val="ListNumber"/>
        <w:spacing w:after="60"/>
      </w:pPr>
      <w:r>
        <w:t>Story plan: generate learning arc, analogy mapping, fact anchors, possible misconception, and recall hook as structured JSON.</w:t>
      </w:r>
    </w:p>
    <w:p>
      <w:pPr>
        <w:pStyle w:val="ListNumber"/>
        <w:spacing w:after="60"/>
      </w:pPr>
      <w:r>
        <w:t>Draft: generate the story strictly from plan and evidence, followed by an exam-truth block.</w:t>
      </w:r>
    </w:p>
    <w:p>
      <w:pPr>
        <w:pStyle w:val="ListNumber"/>
        <w:spacing w:after="60"/>
      </w:pPr>
      <w:r>
        <w:t>Verification: extract atomic claims; classify supported, contradicted, or not found; check objective coverage and numeric/date/entity fidelity.</w:t>
      </w:r>
    </w:p>
    <w:p>
      <w:pPr>
        <w:pStyle w:val="ListNumber"/>
        <w:spacing w:after="60"/>
      </w:pPr>
      <w:r>
        <w:t>Repair: at most one constrained repair pass using verifier findings, then re-verify.</w:t>
      </w:r>
    </w:p>
    <w:p>
      <w:pPr>
        <w:pStyle w:val="ListNumber"/>
        <w:spacing w:after="60"/>
      </w:pPr>
      <w:r>
        <w:t>Publication gate: show verified output or a transparent refusal. Never downgrade a failed check to a warning.</w:t>
      </w:r>
    </w:p>
    <w:p>
      <w:pPr>
        <w:pStyle w:val="ListNumber"/>
        <w:spacing w:after="60"/>
      </w:pPr>
      <w:r>
        <w:t>Persistence: store request, versions, evidence IDs, verification report, latency, feedback, and check answers.</w:t>
      </w:r>
    </w:p>
    <w:p>
      <w:pPr>
        <w:pStyle w:val="Heading2"/>
      </w:pPr>
      <w:r>
        <w:t>6.1 Core data objects</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D9EAF7"/>
            <w:vAlign w:val="center"/>
          </w:tcPr>
          <w:p>
            <w:r>
              <w:rPr>
                <w:b/>
                <w:color w:val="17365D"/>
                <w:sz w:val="18"/>
              </w:rPr>
              <w:t>Object</w:t>
            </w:r>
          </w:p>
        </w:tc>
        <w:tc>
          <w:tcPr>
            <w:tcW w:type="dxa" w:w="7160"/>
            <w:shd w:fill="D9EAF7"/>
            <w:vAlign w:val="center"/>
          </w:tcPr>
          <w:p>
            <w:r>
              <w:rPr>
                <w:b/>
                <w:color w:val="17365D"/>
                <w:sz w:val="18"/>
              </w:rPr>
              <w:t>Essential fields</w:t>
            </w:r>
          </w:p>
        </w:tc>
      </w:tr>
      <w:tr>
        <w:tc>
          <w:tcPr>
            <w:tcW w:type="dxa" w:w="2200"/>
            <w:vAlign w:val="top"/>
          </w:tcPr>
          <w:p>
            <w:pPr>
              <w:spacing w:after="60"/>
            </w:pPr>
            <w:r>
              <w:rPr>
                <w:sz w:val="17"/>
              </w:rPr>
              <w:t>StudentProfile</w:t>
            </w:r>
          </w:p>
        </w:tc>
        <w:tc>
          <w:tcPr>
            <w:tcW w:type="dxa" w:w="7160"/>
            <w:vAlign w:val="top"/>
          </w:tcPr>
          <w:p>
            <w:pPr>
              <w:spacing w:after="60"/>
            </w:pPr>
            <w:r>
              <w:rPr>
                <w:sz w:val="17"/>
              </w:rPr>
              <w:t>id, preferred_language, default_level, preferred_story_styles, daily_minutes</w:t>
            </w:r>
          </w:p>
        </w:tc>
      </w:tr>
      <w:tr>
        <w:tc>
          <w:tcPr>
            <w:tcW w:type="dxa" w:w="2200"/>
            <w:vAlign w:val="top"/>
          </w:tcPr>
          <w:p>
            <w:pPr>
              <w:spacing w:after="60"/>
            </w:pPr>
            <w:r>
              <w:rPr>
                <w:sz w:val="17"/>
              </w:rPr>
              <w:t>Concept</w:t>
            </w:r>
          </w:p>
        </w:tc>
        <w:tc>
          <w:tcPr>
            <w:tcW w:type="dxa" w:w="7160"/>
            <w:vAlign w:val="top"/>
          </w:tcPr>
          <w:p>
            <w:pPr>
              <w:spacing w:after="60"/>
            </w:pPr>
            <w:r>
              <w:rPr>
                <w:sz w:val="17"/>
              </w:rPr>
              <w:t>id, exam_family, subject, syllabus_version, title, learning_objectives, prerequisites</w:t>
            </w:r>
          </w:p>
        </w:tc>
      </w:tr>
      <w:tr>
        <w:tc>
          <w:tcPr>
            <w:tcW w:type="dxa" w:w="2200"/>
            <w:vAlign w:val="top"/>
          </w:tcPr>
          <w:p>
            <w:pPr>
              <w:spacing w:after="60"/>
            </w:pPr>
            <w:r>
              <w:rPr>
                <w:sz w:val="17"/>
              </w:rPr>
              <w:t>SourceDocument</w:t>
            </w:r>
          </w:p>
        </w:tc>
        <w:tc>
          <w:tcPr>
            <w:tcW w:type="dxa" w:w="7160"/>
            <w:vAlign w:val="top"/>
          </w:tcPr>
          <w:p>
            <w:pPr>
              <w:spacing w:after="60"/>
            </w:pPr>
            <w:r>
              <w:rPr>
                <w:sz w:val="17"/>
              </w:rPr>
              <w:t>id, title, publisher, authority_tier, license, edition, effective_from/to, checksum</w:t>
            </w:r>
          </w:p>
        </w:tc>
      </w:tr>
      <w:tr>
        <w:tc>
          <w:tcPr>
            <w:tcW w:type="dxa" w:w="2200"/>
            <w:vAlign w:val="top"/>
          </w:tcPr>
          <w:p>
            <w:pPr>
              <w:spacing w:after="60"/>
            </w:pPr>
            <w:r>
              <w:rPr>
                <w:sz w:val="17"/>
              </w:rPr>
              <w:t>Chunk</w:t>
            </w:r>
          </w:p>
        </w:tc>
        <w:tc>
          <w:tcPr>
            <w:tcW w:type="dxa" w:w="7160"/>
            <w:vAlign w:val="top"/>
          </w:tcPr>
          <w:p>
            <w:pPr>
              <w:spacing w:after="60"/>
            </w:pPr>
            <w:r>
              <w:rPr>
                <w:sz w:val="17"/>
              </w:rPr>
              <w:t>id, source_id, page/section, text, embedding, concept_tags</w:t>
            </w:r>
          </w:p>
        </w:tc>
      </w:tr>
      <w:tr>
        <w:tc>
          <w:tcPr>
            <w:tcW w:type="dxa" w:w="2200"/>
            <w:vAlign w:val="top"/>
          </w:tcPr>
          <w:p>
            <w:pPr>
              <w:spacing w:after="60"/>
            </w:pPr>
            <w:r>
              <w:rPr>
                <w:sz w:val="17"/>
              </w:rPr>
              <w:t>EvidencePacket</w:t>
            </w:r>
          </w:p>
        </w:tc>
        <w:tc>
          <w:tcPr>
            <w:tcW w:type="dxa" w:w="7160"/>
            <w:vAlign w:val="top"/>
          </w:tcPr>
          <w:p>
            <w:pPr>
              <w:spacing w:after="60"/>
            </w:pPr>
            <w:r>
              <w:rPr>
                <w:sz w:val="17"/>
              </w:rPr>
              <w:t>query, concept_id, chunks[], retrieval scores, coverage verdict</w:t>
            </w:r>
          </w:p>
        </w:tc>
      </w:tr>
      <w:tr>
        <w:tc>
          <w:tcPr>
            <w:tcW w:type="dxa" w:w="2200"/>
            <w:vAlign w:val="top"/>
          </w:tcPr>
          <w:p>
            <w:pPr>
              <w:spacing w:after="60"/>
            </w:pPr>
            <w:r>
              <w:rPr>
                <w:sz w:val="17"/>
              </w:rPr>
              <w:t>ContextMemory</w:t>
            </w:r>
          </w:p>
        </w:tc>
        <w:tc>
          <w:tcPr>
            <w:tcW w:type="dxa" w:w="7160"/>
            <w:vAlign w:val="top"/>
          </w:tcPr>
          <w:p>
            <w:pPr>
              <w:spacing w:after="60"/>
            </w:pPr>
            <w:r>
              <w:rPr>
                <w:sz w:val="17"/>
              </w:rPr>
              <w:t>id, type, subject/concept tags, compact text, source_event_ids, salience, created/updated/expiry</w:t>
            </w:r>
          </w:p>
        </w:tc>
      </w:tr>
      <w:tr>
        <w:tc>
          <w:tcPr>
            <w:tcW w:type="dxa" w:w="2200"/>
            <w:vAlign w:val="top"/>
          </w:tcPr>
          <w:p>
            <w:pPr>
              <w:spacing w:after="60"/>
            </w:pPr>
            <w:r>
              <w:rPr>
                <w:sz w:val="17"/>
              </w:rPr>
              <w:t>ContextPack</w:t>
            </w:r>
          </w:p>
        </w:tc>
        <w:tc>
          <w:tcPr>
            <w:tcW w:type="dxa" w:w="7160"/>
            <w:vAlign w:val="top"/>
          </w:tcPr>
          <w:p>
            <w:pPr>
              <w:spacing w:after="60"/>
            </w:pPr>
            <w:r>
              <w:rPr>
                <w:sz w:val="17"/>
              </w:rPr>
              <w:t>request_id, selected_memory_ids, token counts by section, truncation decisions, checksum</w:t>
            </w:r>
          </w:p>
        </w:tc>
      </w:tr>
      <w:tr>
        <w:tc>
          <w:tcPr>
            <w:tcW w:type="dxa" w:w="2200"/>
            <w:vAlign w:val="top"/>
          </w:tcPr>
          <w:p>
            <w:pPr>
              <w:spacing w:after="60"/>
            </w:pPr>
            <w:r>
              <w:rPr>
                <w:sz w:val="17"/>
              </w:rPr>
              <w:t>Lesson</w:t>
            </w:r>
          </w:p>
        </w:tc>
        <w:tc>
          <w:tcPr>
            <w:tcW w:type="dxa" w:w="7160"/>
            <w:vAlign w:val="top"/>
          </w:tcPr>
          <w:p>
            <w:pPr>
              <w:spacing w:after="60"/>
            </w:pPr>
            <w:r>
              <w:rPr>
                <w:sz w:val="17"/>
              </w:rPr>
              <w:t>id, concept_id, level, model/prompt versions, story, exam_truth, mnemonic, citations, status</w:t>
            </w:r>
          </w:p>
        </w:tc>
      </w:tr>
      <w:tr>
        <w:tc>
          <w:tcPr>
            <w:tcW w:type="dxa" w:w="2200"/>
            <w:vAlign w:val="top"/>
          </w:tcPr>
          <w:p>
            <w:pPr>
              <w:spacing w:after="60"/>
            </w:pPr>
            <w:r>
              <w:rPr>
                <w:sz w:val="17"/>
              </w:rPr>
              <w:t>VerificationReport</w:t>
            </w:r>
          </w:p>
        </w:tc>
        <w:tc>
          <w:tcPr>
            <w:tcW w:type="dxa" w:w="7160"/>
            <w:vAlign w:val="top"/>
          </w:tcPr>
          <w:p>
            <w:pPr>
              <w:spacing w:after="60"/>
            </w:pPr>
            <w:r>
              <w:rPr>
                <w:sz w:val="17"/>
              </w:rPr>
              <w:t>atomic claims[], evidence links, verdicts, objective coverage, final decision</w:t>
            </w:r>
          </w:p>
        </w:tc>
      </w:tr>
      <w:tr>
        <w:tc>
          <w:tcPr>
            <w:tcW w:type="dxa" w:w="2200"/>
            <w:vAlign w:val="top"/>
          </w:tcPr>
          <w:p>
            <w:pPr>
              <w:spacing w:after="60"/>
            </w:pPr>
            <w:r>
              <w:rPr>
                <w:sz w:val="17"/>
              </w:rPr>
              <w:t>LearningEvent</w:t>
            </w:r>
          </w:p>
        </w:tc>
        <w:tc>
          <w:tcPr>
            <w:tcW w:type="dxa" w:w="7160"/>
            <w:vAlign w:val="top"/>
          </w:tcPr>
          <w:p>
            <w:pPr>
              <w:spacing w:after="60"/>
            </w:pPr>
            <w:r>
              <w:rPr>
                <w:sz w:val="17"/>
              </w:rPr>
              <w:t>lesson_id, answers, confidence, difficulty feedback, duration, timestamp</w:t>
            </w:r>
          </w:p>
        </w:tc>
      </w:tr>
    </w:tbl>
    <w:p>
      <w:pPr>
        <w:spacing w:after="0"/>
      </w:pPr>
    </w:p>
    <w:p>
      <w:pPr>
        <w:pStyle w:val="Heading1"/>
      </w:pPr>
      <w:r>
        <w:t>7. Story Generation Pipeline</w:t>
      </w:r>
    </w:p>
    <w:tbl>
      <w:tblPr>
        <w:tblStyle w:val="TableGrid"/>
        <w:tblW w:type="dxa" w:w="9360"/>
        <w:jc w:val="left"/>
        <w:tblLayout w:type="fixed"/>
        <w:tblLook w:firstColumn="1" w:firstRow="1" w:lastColumn="0" w:lastRow="0" w:noHBand="0" w:noVBand="1" w:val="04A0"/>
        <w:tblInd w:w="120" w:type="dxa"/>
      </w:tblPr>
      <w:tblGrid>
        <w:gridCol w:w="1800"/>
        <w:gridCol w:w="4300"/>
        <w:gridCol w:w="3260"/>
      </w:tblGrid>
      <w:tr>
        <w:tc>
          <w:tcPr>
            <w:tcW w:type="dxa" w:w="1800"/>
            <w:shd w:fill="D9EAF7"/>
            <w:vAlign w:val="center"/>
          </w:tcPr>
          <w:p>
            <w:r>
              <w:rPr>
                <w:b/>
                <w:color w:val="17365D"/>
                <w:sz w:val="18"/>
              </w:rPr>
              <w:t>Stage</w:t>
            </w:r>
          </w:p>
        </w:tc>
        <w:tc>
          <w:tcPr>
            <w:tcW w:type="dxa" w:w="4300"/>
            <w:shd w:fill="D9EAF7"/>
            <w:vAlign w:val="center"/>
          </w:tcPr>
          <w:p>
            <w:r>
              <w:rPr>
                <w:b/>
                <w:color w:val="17365D"/>
                <w:sz w:val="18"/>
              </w:rPr>
              <w:t>Purpose</w:t>
            </w:r>
          </w:p>
        </w:tc>
        <w:tc>
          <w:tcPr>
            <w:tcW w:type="dxa" w:w="3260"/>
            <w:shd w:fill="D9EAF7"/>
            <w:vAlign w:val="center"/>
          </w:tcPr>
          <w:p>
            <w:r>
              <w:rPr>
                <w:b/>
                <w:color w:val="17365D"/>
                <w:sz w:val="18"/>
              </w:rPr>
              <w:t>Failure rule</w:t>
            </w:r>
          </w:p>
        </w:tc>
      </w:tr>
      <w:tr>
        <w:tc>
          <w:tcPr>
            <w:tcW w:type="dxa" w:w="1800"/>
            <w:vAlign w:val="top"/>
          </w:tcPr>
          <w:p>
            <w:pPr>
              <w:spacing w:after="60"/>
            </w:pPr>
            <w:r>
              <w:rPr>
                <w:sz w:val="17"/>
              </w:rPr>
              <w:t>1. Concept resolution</w:t>
            </w:r>
          </w:p>
        </w:tc>
        <w:tc>
          <w:tcPr>
            <w:tcW w:type="dxa" w:w="4300"/>
            <w:vAlign w:val="top"/>
          </w:tcPr>
          <w:p>
            <w:pPr>
              <w:spacing w:after="60"/>
            </w:pPr>
            <w:r>
              <w:rPr>
                <w:sz w:val="17"/>
              </w:rPr>
              <w:t>Convert request to canonical syllabus concept and objectives.</w:t>
            </w:r>
          </w:p>
        </w:tc>
        <w:tc>
          <w:tcPr>
            <w:tcW w:type="dxa" w:w="3260"/>
            <w:vAlign w:val="top"/>
          </w:tcPr>
          <w:p>
            <w:pPr>
              <w:spacing w:after="60"/>
            </w:pPr>
            <w:r>
              <w:rPr>
                <w:sz w:val="17"/>
              </w:rPr>
              <w:t>Ambiguous topic → ask user to choose.</w:t>
            </w:r>
          </w:p>
        </w:tc>
      </w:tr>
      <w:tr>
        <w:tc>
          <w:tcPr>
            <w:tcW w:type="dxa" w:w="1800"/>
            <w:vAlign w:val="top"/>
          </w:tcPr>
          <w:p>
            <w:pPr>
              <w:spacing w:after="60"/>
            </w:pPr>
            <w:r>
              <w:rPr>
                <w:sz w:val="17"/>
              </w:rPr>
              <w:t>2. Knowledge retrieval</w:t>
            </w:r>
          </w:p>
        </w:tc>
        <w:tc>
          <w:tcPr>
            <w:tcW w:type="dxa" w:w="4300"/>
            <w:vAlign w:val="top"/>
          </w:tcPr>
          <w:p>
            <w:pPr>
              <w:spacing w:after="60"/>
            </w:pPr>
            <w:r>
              <w:rPr>
                <w:sz w:val="17"/>
              </w:rPr>
              <w:t>Fetch authoritative, versioned evidence.</w:t>
            </w:r>
          </w:p>
        </w:tc>
        <w:tc>
          <w:tcPr>
            <w:tcW w:type="dxa" w:w="3260"/>
            <w:vAlign w:val="top"/>
          </w:tcPr>
          <w:p>
            <w:pPr>
              <w:spacing w:after="60"/>
            </w:pPr>
            <w:r>
              <w:rPr>
                <w:sz w:val="17"/>
              </w:rPr>
              <w:t>Missing objective evidence → no generation.</w:t>
            </w:r>
          </w:p>
        </w:tc>
      </w:tr>
      <w:tr>
        <w:tc>
          <w:tcPr>
            <w:tcW w:type="dxa" w:w="1800"/>
            <w:vAlign w:val="top"/>
          </w:tcPr>
          <w:p>
            <w:pPr>
              <w:spacing w:after="60"/>
            </w:pPr>
            <w:r>
              <w:rPr>
                <w:sz w:val="17"/>
              </w:rPr>
              <w:t>3. Prompt assembly</w:t>
            </w:r>
          </w:p>
        </w:tc>
        <w:tc>
          <w:tcPr>
            <w:tcW w:type="dxa" w:w="4300"/>
            <w:vAlign w:val="top"/>
          </w:tcPr>
          <w:p>
            <w:pPr>
              <w:spacing w:after="60"/>
            </w:pPr>
            <w:r>
              <w:rPr>
                <w:sz w:val="17"/>
              </w:rPr>
              <w:t>Apply level rubric, duration budget, language, profile, and evidence.</w:t>
            </w:r>
          </w:p>
        </w:tc>
        <w:tc>
          <w:tcPr>
            <w:tcW w:type="dxa" w:w="3260"/>
            <w:vAlign w:val="top"/>
          </w:tcPr>
          <w:p>
            <w:pPr>
              <w:spacing w:after="60"/>
            </w:pPr>
            <w:r>
              <w:rPr>
                <w:sz w:val="17"/>
              </w:rPr>
              <w:t>Oversized context → trim by coverage, never by random truncation.</w:t>
            </w:r>
          </w:p>
        </w:tc>
      </w:tr>
      <w:tr>
        <w:tc>
          <w:tcPr>
            <w:tcW w:type="dxa" w:w="1800"/>
            <w:vAlign w:val="top"/>
          </w:tcPr>
          <w:p>
            <w:pPr>
              <w:spacing w:after="60"/>
            </w:pPr>
            <w:r>
              <w:rPr>
                <w:sz w:val="17"/>
              </w:rPr>
              <w:t>4. Story planning</w:t>
            </w:r>
          </w:p>
        </w:tc>
        <w:tc>
          <w:tcPr>
            <w:tcW w:type="dxa" w:w="4300"/>
            <w:vAlign w:val="top"/>
          </w:tcPr>
          <w:p>
            <w:pPr>
              <w:spacing w:after="60"/>
            </w:pPr>
            <w:r>
              <w:rPr>
                <w:sz w:val="17"/>
              </w:rPr>
              <w:t>Map each fact to a scene/analogy; define characters and recall hook.</w:t>
            </w:r>
          </w:p>
        </w:tc>
        <w:tc>
          <w:tcPr>
            <w:tcW w:type="dxa" w:w="3260"/>
            <w:vAlign w:val="top"/>
          </w:tcPr>
          <w:p>
            <w:pPr>
              <w:spacing w:after="60"/>
            </w:pPr>
            <w:r>
              <w:rPr>
                <w:sz w:val="17"/>
              </w:rPr>
              <w:t>Analogy without fact mapping → reject plan.</w:t>
            </w:r>
          </w:p>
        </w:tc>
      </w:tr>
      <w:tr>
        <w:tc>
          <w:tcPr>
            <w:tcW w:type="dxa" w:w="1800"/>
            <w:vAlign w:val="top"/>
          </w:tcPr>
          <w:p>
            <w:pPr>
              <w:spacing w:after="60"/>
            </w:pPr>
            <w:r>
              <w:rPr>
                <w:sz w:val="17"/>
              </w:rPr>
              <w:t>5. Story generation</w:t>
            </w:r>
          </w:p>
        </w:tc>
        <w:tc>
          <w:tcPr>
            <w:tcW w:type="dxa" w:w="4300"/>
            <w:vAlign w:val="top"/>
          </w:tcPr>
          <w:p>
            <w:pPr>
              <w:spacing w:after="60"/>
            </w:pPr>
            <w:r>
              <w:rPr>
                <w:sz w:val="17"/>
              </w:rPr>
              <w:t>Write engaging explanation with natural teaching sequence.</w:t>
            </w:r>
          </w:p>
        </w:tc>
        <w:tc>
          <w:tcPr>
            <w:tcW w:type="dxa" w:w="3260"/>
            <w:vAlign w:val="top"/>
          </w:tcPr>
          <w:p>
            <w:pPr>
              <w:spacing w:after="60"/>
            </w:pPr>
            <w:r>
              <w:rPr>
                <w:sz w:val="17"/>
              </w:rPr>
              <w:t>Novel facts/entities outside evidence → send to verifier.</w:t>
            </w:r>
          </w:p>
        </w:tc>
      </w:tr>
      <w:tr>
        <w:tc>
          <w:tcPr>
            <w:tcW w:type="dxa" w:w="1800"/>
            <w:vAlign w:val="top"/>
          </w:tcPr>
          <w:p>
            <w:pPr>
              <w:spacing w:after="60"/>
            </w:pPr>
            <w:r>
              <w:rPr>
                <w:sz w:val="17"/>
              </w:rPr>
              <w:t>6. Concept verification</w:t>
            </w:r>
          </w:p>
        </w:tc>
        <w:tc>
          <w:tcPr>
            <w:tcW w:type="dxa" w:w="4300"/>
            <w:vAlign w:val="top"/>
          </w:tcPr>
          <w:p>
            <w:pPr>
              <w:spacing w:after="60"/>
            </w:pPr>
            <w:r>
              <w:rPr>
                <w:sz w:val="17"/>
              </w:rPr>
              <w:t>Atomic claim entailment, dates/numbers/entities, objective coverage, misconception check.</w:t>
            </w:r>
          </w:p>
        </w:tc>
        <w:tc>
          <w:tcPr>
            <w:tcW w:type="dxa" w:w="3260"/>
            <w:vAlign w:val="top"/>
          </w:tcPr>
          <w:p>
            <w:pPr>
              <w:spacing w:after="60"/>
            </w:pPr>
            <w:r>
              <w:rPr>
                <w:sz w:val="17"/>
              </w:rPr>
              <w:t>Critical contradiction/not-found → repair or block.</w:t>
            </w:r>
          </w:p>
        </w:tc>
      </w:tr>
      <w:tr>
        <w:tc>
          <w:tcPr>
            <w:tcW w:type="dxa" w:w="1800"/>
            <w:vAlign w:val="top"/>
          </w:tcPr>
          <w:p>
            <w:pPr>
              <w:spacing w:after="60"/>
            </w:pPr>
            <w:r>
              <w:rPr>
                <w:sz w:val="17"/>
              </w:rPr>
              <w:t>7. Quality evaluation</w:t>
            </w:r>
          </w:p>
        </w:tc>
        <w:tc>
          <w:tcPr>
            <w:tcW w:type="dxa" w:w="4300"/>
            <w:vAlign w:val="top"/>
          </w:tcPr>
          <w:p>
            <w:pPr>
              <w:spacing w:after="60"/>
            </w:pPr>
            <w:r>
              <w:rPr>
                <w:sz w:val="17"/>
              </w:rPr>
              <w:t>Score clarity, adaptation, engagement, economy, visualization, and exam recall.</w:t>
            </w:r>
          </w:p>
        </w:tc>
        <w:tc>
          <w:tcPr>
            <w:tcW w:type="dxa" w:w="3260"/>
            <w:vAlign w:val="top"/>
          </w:tcPr>
          <w:p>
            <w:pPr>
              <w:spacing w:after="60"/>
            </w:pPr>
            <w:r>
              <w:rPr>
                <w:sz w:val="17"/>
              </w:rPr>
              <w:t>Low pedagogy score → one bounded rewrite.</w:t>
            </w:r>
          </w:p>
        </w:tc>
      </w:tr>
      <w:tr>
        <w:tc>
          <w:tcPr>
            <w:tcW w:type="dxa" w:w="1800"/>
            <w:vAlign w:val="top"/>
          </w:tcPr>
          <w:p>
            <w:pPr>
              <w:spacing w:after="60"/>
            </w:pPr>
            <w:r>
              <w:rPr>
                <w:sz w:val="17"/>
              </w:rPr>
              <w:t>8. Final lesson</w:t>
            </w:r>
          </w:p>
        </w:tc>
        <w:tc>
          <w:tcPr>
            <w:tcW w:type="dxa" w:w="4300"/>
            <w:vAlign w:val="top"/>
          </w:tcPr>
          <w:p>
            <w:pPr>
              <w:spacing w:after="60"/>
            </w:pPr>
            <w:r>
              <w:rPr>
                <w:sz w:val="17"/>
              </w:rPr>
              <w:t>Story + exam truth + mnemonic + sources + check questions.</w:t>
            </w:r>
          </w:p>
        </w:tc>
        <w:tc>
          <w:tcPr>
            <w:tcW w:type="dxa" w:w="3260"/>
            <w:vAlign w:val="top"/>
          </w:tcPr>
          <w:p>
            <w:pPr>
              <w:spacing w:after="60"/>
            </w:pPr>
            <w:r>
              <w:rPr>
                <w:sz w:val="17"/>
              </w:rPr>
              <w:t>Never label as verified without PASS report.</w:t>
            </w:r>
          </w:p>
        </w:tc>
      </w:tr>
    </w:tbl>
    <w:p>
      <w:pPr>
        <w:spacing w:after="0"/>
      </w:pPr>
    </w:p>
    <w:p>
      <w:pPr>
        <w:pStyle w:val="Heading2"/>
      </w:pPr>
      <w:r>
        <w:t>7.1 Understanding-level adaptation rubric</w:t>
      </w:r>
    </w:p>
    <w:tbl>
      <w:tblPr>
        <w:tblStyle w:val="TableGrid"/>
        <w:tblW w:type="dxa" w:w="9360"/>
        <w:jc w:val="left"/>
        <w:tblLayout w:type="fixed"/>
        <w:tblLook w:firstColumn="1" w:firstRow="1" w:lastColumn="0" w:lastRow="0" w:noHBand="0" w:noVBand="1" w:val="04A0"/>
        <w:tblInd w:w="120" w:type="dxa"/>
      </w:tblPr>
      <w:tblGrid>
        <w:gridCol w:w="1000"/>
        <w:gridCol w:w="3000"/>
        <w:gridCol w:w="3100"/>
        <w:gridCol w:w="2260"/>
      </w:tblGrid>
      <w:tr>
        <w:tc>
          <w:tcPr>
            <w:tcW w:type="dxa" w:w="1000"/>
            <w:shd w:fill="D9EAF7"/>
            <w:vAlign w:val="center"/>
          </w:tcPr>
          <w:p>
            <w:r>
              <w:rPr>
                <w:b/>
                <w:color w:val="17365D"/>
                <w:sz w:val="18"/>
              </w:rPr>
              <w:t>Level</w:t>
            </w:r>
          </w:p>
        </w:tc>
        <w:tc>
          <w:tcPr>
            <w:tcW w:type="dxa" w:w="3000"/>
            <w:shd w:fill="D9EAF7"/>
            <w:vAlign w:val="center"/>
          </w:tcPr>
          <w:p>
            <w:r>
              <w:rPr>
                <w:b/>
                <w:color w:val="17365D"/>
                <w:sz w:val="18"/>
              </w:rPr>
              <w:t>Language &amp; structure</w:t>
            </w:r>
          </w:p>
        </w:tc>
        <w:tc>
          <w:tcPr>
            <w:tcW w:type="dxa" w:w="3100"/>
            <w:shd w:fill="D9EAF7"/>
            <w:vAlign w:val="center"/>
          </w:tcPr>
          <w:p>
            <w:r>
              <w:rPr>
                <w:b/>
                <w:color w:val="17365D"/>
                <w:sz w:val="18"/>
              </w:rPr>
              <w:t>Story design</w:t>
            </w:r>
          </w:p>
        </w:tc>
        <w:tc>
          <w:tcPr>
            <w:tcW w:type="dxa" w:w="2260"/>
            <w:shd w:fill="D9EAF7"/>
            <w:vAlign w:val="center"/>
          </w:tcPr>
          <w:p>
            <w:r>
              <w:rPr>
                <w:b/>
                <w:color w:val="17365D"/>
                <w:sz w:val="18"/>
              </w:rPr>
              <w:t>Teaching pace</w:t>
            </w:r>
          </w:p>
        </w:tc>
      </w:tr>
      <w:tr>
        <w:tc>
          <w:tcPr>
            <w:tcW w:type="dxa" w:w="1000"/>
            <w:vAlign w:val="top"/>
          </w:tcPr>
          <w:p>
            <w:pPr>
              <w:spacing w:after="60"/>
            </w:pPr>
            <w:r>
              <w:rPr>
                <w:sz w:val="17"/>
              </w:rPr>
              <w:t>10</w:t>
            </w:r>
          </w:p>
        </w:tc>
        <w:tc>
          <w:tcPr>
            <w:tcW w:type="dxa" w:w="3000"/>
            <w:vAlign w:val="top"/>
          </w:tcPr>
          <w:p>
            <w:pPr>
              <w:spacing w:after="60"/>
            </w:pPr>
            <w:r>
              <w:rPr>
                <w:sz w:val="17"/>
              </w:rPr>
              <w:t>Common words, short sentences, one idea at a time; define every exam term.</w:t>
            </w:r>
          </w:p>
        </w:tc>
        <w:tc>
          <w:tcPr>
            <w:tcW w:type="dxa" w:w="3100"/>
            <w:vAlign w:val="top"/>
          </w:tcPr>
          <w:p>
            <w:pPr>
              <w:spacing w:after="60"/>
            </w:pPr>
            <w:r>
              <w:rPr>
                <w:sz w:val="17"/>
              </w:rPr>
              <w:t>One familiar setting, 2–3 characters, concrete objects, literal analogy.</w:t>
            </w:r>
          </w:p>
        </w:tc>
        <w:tc>
          <w:tcPr>
            <w:tcW w:type="dxa" w:w="2260"/>
            <w:vAlign w:val="top"/>
          </w:tcPr>
          <w:p>
            <w:pPr>
              <w:spacing w:after="60"/>
            </w:pPr>
            <w:r>
              <w:rPr>
                <w:sz w:val="17"/>
              </w:rPr>
              <w:t>Frequent recap; 3–4 fact anchors.</w:t>
            </w:r>
          </w:p>
        </w:tc>
      </w:tr>
      <w:tr>
        <w:tc>
          <w:tcPr>
            <w:tcW w:type="dxa" w:w="1000"/>
            <w:vAlign w:val="top"/>
          </w:tcPr>
          <w:p>
            <w:pPr>
              <w:spacing w:after="60"/>
            </w:pPr>
            <w:r>
              <w:rPr>
                <w:sz w:val="17"/>
              </w:rPr>
              <w:t>15</w:t>
            </w:r>
          </w:p>
        </w:tc>
        <w:tc>
          <w:tcPr>
            <w:tcW w:type="dxa" w:w="3000"/>
            <w:vAlign w:val="top"/>
          </w:tcPr>
          <w:p>
            <w:pPr>
              <w:spacing w:after="60"/>
            </w:pPr>
            <w:r>
              <w:rPr>
                <w:sz w:val="17"/>
              </w:rPr>
              <w:t>High-school vocabulary, short paragraphs, limited abstraction.</w:t>
            </w:r>
          </w:p>
        </w:tc>
        <w:tc>
          <w:tcPr>
            <w:tcW w:type="dxa" w:w="3100"/>
            <w:vAlign w:val="top"/>
          </w:tcPr>
          <w:p>
            <w:pPr>
              <w:spacing w:after="60"/>
            </w:pPr>
            <w:r>
              <w:rPr>
                <w:sz w:val="17"/>
              </w:rPr>
              <w:t>Simple cause-effect plot; one analogy per major idea.</w:t>
            </w:r>
          </w:p>
        </w:tc>
        <w:tc>
          <w:tcPr>
            <w:tcW w:type="dxa" w:w="2260"/>
            <w:vAlign w:val="top"/>
          </w:tcPr>
          <w:p>
            <w:pPr>
              <w:spacing w:after="60"/>
            </w:pPr>
            <w:r>
              <w:rPr>
                <w:sz w:val="17"/>
              </w:rPr>
              <w:t>Pause after each objective; 4–6 anchors.</w:t>
            </w:r>
          </w:p>
        </w:tc>
      </w:tr>
      <w:tr>
        <w:tc>
          <w:tcPr>
            <w:tcW w:type="dxa" w:w="1000"/>
            <w:vAlign w:val="top"/>
          </w:tcPr>
          <w:p>
            <w:pPr>
              <w:spacing w:after="60"/>
            </w:pPr>
            <w:r>
              <w:rPr>
                <w:sz w:val="17"/>
              </w:rPr>
              <w:t>18</w:t>
            </w:r>
          </w:p>
        </w:tc>
        <w:tc>
          <w:tcPr>
            <w:tcW w:type="dxa" w:w="3000"/>
            <w:vAlign w:val="top"/>
          </w:tcPr>
          <w:p>
            <w:pPr>
              <w:spacing w:after="60"/>
            </w:pPr>
            <w:r>
              <w:rPr>
                <w:sz w:val="17"/>
              </w:rPr>
              <w:t>General adult vocabulary, moderate sentence variety, standard exam terms.</w:t>
            </w:r>
          </w:p>
        </w:tc>
        <w:tc>
          <w:tcPr>
            <w:tcW w:type="dxa" w:w="3100"/>
            <w:vAlign w:val="top"/>
          </w:tcPr>
          <w:p>
            <w:pPr>
              <w:spacing w:after="60"/>
            </w:pPr>
            <w:r>
              <w:rPr>
                <w:sz w:val="17"/>
              </w:rPr>
              <w:t>Realistic scenario with trade-offs and linked causes.</w:t>
            </w:r>
          </w:p>
        </w:tc>
        <w:tc>
          <w:tcPr>
            <w:tcW w:type="dxa" w:w="2260"/>
            <w:vAlign w:val="top"/>
          </w:tcPr>
          <w:p>
            <w:pPr>
              <w:spacing w:after="60"/>
            </w:pPr>
            <w:r>
              <w:rPr>
                <w:sz w:val="17"/>
              </w:rPr>
              <w:t>Normal pace; 5–8 anchors.</w:t>
            </w:r>
          </w:p>
        </w:tc>
      </w:tr>
      <w:tr>
        <w:tc>
          <w:tcPr>
            <w:tcW w:type="dxa" w:w="1000"/>
            <w:vAlign w:val="top"/>
          </w:tcPr>
          <w:p>
            <w:pPr>
              <w:spacing w:after="60"/>
            </w:pPr>
            <w:r>
              <w:rPr>
                <w:sz w:val="17"/>
              </w:rPr>
              <w:t>28</w:t>
            </w:r>
          </w:p>
        </w:tc>
        <w:tc>
          <w:tcPr>
            <w:tcW w:type="dxa" w:w="3000"/>
            <w:vAlign w:val="top"/>
          </w:tcPr>
          <w:p>
            <w:pPr>
              <w:spacing w:after="60"/>
            </w:pPr>
            <w:r>
              <w:rPr>
                <w:sz w:val="17"/>
              </w:rPr>
              <w:t>Concise adult language, precise terms, controlled complexity.</w:t>
            </w:r>
          </w:p>
        </w:tc>
        <w:tc>
          <w:tcPr>
            <w:tcW w:type="dxa" w:w="3100"/>
            <w:vAlign w:val="top"/>
          </w:tcPr>
          <w:p>
            <w:pPr>
              <w:spacing w:after="60"/>
            </w:pPr>
            <w:r>
              <w:rPr>
                <w:sz w:val="17"/>
              </w:rPr>
              <w:t>Realistic institutional/economic scenario; nuanced analogy and exceptions.</w:t>
            </w:r>
          </w:p>
        </w:tc>
        <w:tc>
          <w:tcPr>
            <w:tcW w:type="dxa" w:w="2260"/>
            <w:vAlign w:val="top"/>
          </w:tcPr>
          <w:p>
            <w:pPr>
              <w:spacing w:after="60"/>
            </w:pPr>
            <w:r>
              <w:rPr>
                <w:sz w:val="17"/>
              </w:rPr>
              <w:t>Faster pace; preserve qualifiers and exam traps.</w:t>
            </w:r>
          </w:p>
        </w:tc>
      </w:tr>
    </w:tbl>
    <w:p>
      <w:pPr>
        <w:spacing w:after="0"/>
      </w:pPr>
    </w:p>
    <w:p>
      <w:r>
        <w:t>The same facts and learning objectives must survive every level. Adaptation changes representation—not truth, scope, or merely word count. Character age should not imitate the numeric level; “28” means cognitive presentation for an educated adult, not that every protagonist is 28.</w:t>
      </w:r>
    </w:p>
    <w:p>
      <w:pPr>
        <w:pStyle w:val="Heading1"/>
      </w:pPr>
      <w:r>
        <w:t>8. Prompt Strategy</w:t>
      </w:r>
    </w:p>
    <w:p>
      <w:r>
        <w:t>Prompts are version-controlled templates with JSON schemas. System instructions, retrieved evidence, and user preferences are separate fields. Retrieved text is untrusted data: prompts explicitly say to ignore instructions contained inside sources. Each stage has a narrow job and deterministic output schema.</w:t>
      </w:r>
    </w:p>
    <w:p>
      <w:pPr>
        <w:pStyle w:val="Heading2"/>
      </w:pPr>
      <w:r>
        <w:t>8.1 Story planner prompt</w:t>
      </w:r>
    </w:p>
    <w:p>
      <w:pPr>
        <w:pStyle w:val="KeyCallout"/>
      </w:pPr>
      <w:r>
        <w:rPr>
          <w:rFonts w:ascii="Consolas" w:hAnsi="Consolas"/>
          <w:sz w:val="17"/>
        </w:rPr>
        <w:t>ROLE: instructional story planner for Indian government-exam preparation.</w:t>
        <w:br/>
        <w:t>INPUT: concept, learning objectives, evidence packet, understanding rubric, duration.</w:t>
        <w:br/>
        <w:t>RULES: use only evidence; map every objective to at least one scene; avoid fantasy unless it improves a concrete analogy; do not introduce names, dates, laws, formulas, or exceptions absent from evidence.</w:t>
        <w:br/>
        <w:t>OUTPUT JSON: objectives[], fact_anchors[{fact,evidence_ids}], setting, characters, scene_sequence[], analogy_map[{story_element,concept,limit}], misconception, recall_hook, estimated_minutes.</w:t>
      </w:r>
    </w:p>
    <w:p>
      <w:pPr>
        <w:pStyle w:val="Heading2"/>
      </w:pPr>
      <w:r>
        <w:t>8.2 Story generation prompt</w:t>
      </w:r>
    </w:p>
    <w:p>
      <w:pPr>
        <w:pStyle w:val="KeyCallout"/>
      </w:pPr>
      <w:r>
        <w:rPr>
          <w:rFonts w:ascii="Consolas" w:hAnsi="Consolas"/>
          <w:sz w:val="17"/>
        </w:rPr>
        <w:t>Write the planned teaching story. The story must teach, not decorate. Keep all fact anchors exact. Use the specified level rubric to redesign vocabulary, sentence structure, analogy, humor, and pace. After the story output: (1) EXAM TRUTH: 3–8 precise bullets; (2) MEMORY HOOK; (3) SOURCE MARKERS using evidence IDs. Do not reveal private chain-of-thought. If evidence conflicts or is insufficient, return NEEDS_EVIDENCE.</w:t>
      </w:r>
    </w:p>
    <w:p>
      <w:pPr>
        <w:pStyle w:val="Heading2"/>
      </w:pPr>
      <w:r>
        <w:t>8.3 Concept explanation prompt</w:t>
      </w:r>
    </w:p>
    <w:p>
      <w:pPr>
        <w:pStyle w:val="KeyCallout"/>
      </w:pPr>
      <w:r>
        <w:rPr>
          <w:rFonts w:ascii="Consolas" w:hAnsi="Consolas"/>
          <w:sz w:val="17"/>
        </w:rPr>
        <w:t>Explain the concept without a story for the “Explain directly” fallback. Start with one-sentence meaning, then mechanism/cause, example, common exam trap, and 3-point recap. Use only evidence IDs provided and keep technical terms intact with plain-language definitions.</w:t>
      </w:r>
    </w:p>
    <w:p>
      <w:pPr>
        <w:pStyle w:val="Heading2"/>
      </w:pPr>
      <w:r>
        <w:t>8.4 Difficulty adaptation prompt</w:t>
      </w:r>
    </w:p>
    <w:p>
      <w:pPr>
        <w:pStyle w:val="KeyCallout"/>
      </w:pPr>
      <w:r>
        <w:rPr>
          <w:rFonts w:ascii="Consolas" w:hAnsi="Consolas"/>
          <w:sz w:val="17"/>
        </w:rPr>
        <w:t>Transform the representation to target_level={level}; do not delete any required objective or qualifier. Apply the rubric for vocabulary, syntax, abstraction, character count, analogy distance, humor, and recap frequency. Return an adaptation checklist showing objective preservation and changed teaching choices.</w:t>
      </w:r>
    </w:p>
    <w:p>
      <w:pPr>
        <w:pStyle w:val="Heading2"/>
      </w:pPr>
      <w:r>
        <w:t>8.5 Concept verification prompt</w:t>
      </w:r>
    </w:p>
    <w:p>
      <w:pPr>
        <w:pStyle w:val="KeyCallout"/>
      </w:pPr>
      <w:r>
        <w:rPr>
          <w:rFonts w:ascii="Consolas" w:hAnsi="Consolas"/>
          <w:sz w:val="17"/>
        </w:rPr>
        <w:t>Given evidence and a candidate lesson: extract every atomic exam-relevant claim. For each return claim, verdict SUPPORTED|CONTRADICTED|NOT_FOUND, evidence_ids, and correction. Separately score objective coverage, date/number/entity fidelity, analogy boundary clarity, and presence of misleading causal claims. PASS only when all critical claims are supported and all objectives covered.</w:t>
      </w:r>
    </w:p>
    <w:p>
      <w:pPr>
        <w:pStyle w:val="Heading2"/>
      </w:pPr>
      <w:r>
        <w:t>8.6 Story quality evaluation prompt</w:t>
      </w:r>
    </w:p>
    <w:p>
      <w:pPr>
        <w:pStyle w:val="KeyCallout"/>
      </w:pPr>
      <w:r>
        <w:rPr>
          <w:rFonts w:ascii="Consolas" w:hAnsi="Consolas"/>
          <w:sz w:val="17"/>
        </w:rPr>
        <w:t>Score 0–4: clarity, level fit, factual restraint, visualization, emotional engagement, teaching density, recall hook, unnecessary fantasy, and exam usefulness. Cite exact spans causing low scores. A story fails if factual restraint &lt;4, level fit &lt;3, or teaching density &lt;3. Do not reward length.</w:t>
      </w:r>
    </w:p>
    <w:p>
      <w:pPr>
        <w:pStyle w:val="Heading1"/>
      </w:pPr>
      <w:r>
        <w:t>9. Memory and Personalization</w:t>
      </w:r>
    </w:p>
    <w:p>
      <w:r>
        <w:t>Use explicit, structured memory in SQLite on the Dell. Do not depend on the model context window or resend full chat history. Before every model call, a context memory manager assembles the smallest context pack sufficient for the current concept. This reduces prompt tokens, KV-cache pressure, latency, and repeated processing.</w:t>
      </w:r>
    </w:p>
    <w:tbl>
      <w:tblPr>
        <w:tblStyle w:val="TableGrid"/>
        <w:tblW w:type="dxa" w:w="9360"/>
        <w:jc w:val="left"/>
        <w:tblLayout w:type="fixed"/>
        <w:tblLook w:firstColumn="1" w:firstRow="1" w:lastColumn="0" w:lastRow="0" w:noHBand="0" w:noVBand="1" w:val="04A0"/>
        <w:tblInd w:w="120" w:type="dxa"/>
      </w:tblPr>
      <w:tblGrid>
        <w:gridCol w:w="1800"/>
        <w:gridCol w:w="3600"/>
        <w:gridCol w:w="3960"/>
      </w:tblGrid>
      <w:tr>
        <w:tc>
          <w:tcPr>
            <w:tcW w:type="dxa" w:w="1800"/>
            <w:shd w:fill="D9EAF7"/>
            <w:vAlign w:val="center"/>
          </w:tcPr>
          <w:p>
            <w:r>
              <w:rPr>
                <w:b/>
                <w:color w:val="17365D"/>
                <w:sz w:val="18"/>
              </w:rPr>
              <w:t>Memory layer</w:t>
            </w:r>
          </w:p>
        </w:tc>
        <w:tc>
          <w:tcPr>
            <w:tcW w:type="dxa" w:w="3600"/>
            <w:shd w:fill="D9EAF7"/>
            <w:vAlign w:val="center"/>
          </w:tcPr>
          <w:p>
            <w:r>
              <w:rPr>
                <w:b/>
                <w:color w:val="17365D"/>
                <w:sz w:val="18"/>
              </w:rPr>
              <w:t>Stored data</w:t>
            </w:r>
          </w:p>
        </w:tc>
        <w:tc>
          <w:tcPr>
            <w:tcW w:type="dxa" w:w="3960"/>
            <w:shd w:fill="D9EAF7"/>
            <w:vAlign w:val="center"/>
          </w:tcPr>
          <w:p>
            <w:r>
              <w:rPr>
                <w:b/>
                <w:color w:val="17365D"/>
                <w:sz w:val="18"/>
              </w:rPr>
              <w:t>Prompt policy</w:t>
            </w:r>
          </w:p>
        </w:tc>
      </w:tr>
      <w:tr>
        <w:tc>
          <w:tcPr>
            <w:tcW w:type="dxa" w:w="1800"/>
            <w:vAlign w:val="top"/>
          </w:tcPr>
          <w:p>
            <w:pPr>
              <w:spacing w:after="60"/>
            </w:pPr>
            <w:r>
              <w:rPr>
                <w:sz w:val="17"/>
              </w:rPr>
              <w:t>Stable profile</w:t>
            </w:r>
          </w:p>
        </w:tc>
        <w:tc>
          <w:tcPr>
            <w:tcW w:type="dxa" w:w="3600"/>
            <w:vAlign w:val="top"/>
          </w:tcPr>
          <w:p>
            <w:pPr>
              <w:spacing w:after="60"/>
            </w:pPr>
            <w:r>
              <w:rPr>
                <w:sz w:val="17"/>
              </w:rPr>
              <w:t>Language, default level, daily minutes, accessibility needs</w:t>
            </w:r>
          </w:p>
        </w:tc>
        <w:tc>
          <w:tcPr>
            <w:tcW w:type="dxa" w:w="3960"/>
            <w:vAlign w:val="top"/>
          </w:tcPr>
          <w:p>
            <w:pPr>
              <w:spacing w:after="60"/>
            </w:pPr>
            <w:r>
              <w:rPr>
                <w:sz w:val="17"/>
              </w:rPr>
              <w:t>Compact key-value block; include only fields relevant to this request.</w:t>
            </w:r>
          </w:p>
        </w:tc>
      </w:tr>
      <w:tr>
        <w:tc>
          <w:tcPr>
            <w:tcW w:type="dxa" w:w="1800"/>
            <w:vAlign w:val="top"/>
          </w:tcPr>
          <w:p>
            <w:pPr>
              <w:spacing w:after="60"/>
            </w:pPr>
            <w:r>
              <w:rPr>
                <w:sz w:val="17"/>
              </w:rPr>
              <w:t>Preferences</w:t>
            </w:r>
          </w:p>
        </w:tc>
        <w:tc>
          <w:tcPr>
            <w:tcW w:type="dxa" w:w="3600"/>
            <w:vAlign w:val="top"/>
          </w:tcPr>
          <w:p>
            <w:pPr>
              <w:spacing w:after="60"/>
            </w:pPr>
            <w:r>
              <w:rPr>
                <w:sz w:val="17"/>
              </w:rPr>
              <w:t>Preferred settings, analogy types, humor tolerance, disliked styles</w:t>
            </w:r>
          </w:p>
        </w:tc>
        <w:tc>
          <w:tcPr>
            <w:tcW w:type="dxa" w:w="3960"/>
            <w:vAlign w:val="top"/>
          </w:tcPr>
          <w:p>
            <w:pPr>
              <w:spacing w:after="60"/>
            </w:pPr>
            <w:r>
              <w:rPr>
                <w:sz w:val="17"/>
              </w:rPr>
              <w:t>Top 2–3 applicable preferences only; explicit feedback outranks inference.</w:t>
            </w:r>
          </w:p>
        </w:tc>
      </w:tr>
      <w:tr>
        <w:tc>
          <w:tcPr>
            <w:tcW w:type="dxa" w:w="1800"/>
            <w:vAlign w:val="top"/>
          </w:tcPr>
          <w:p>
            <w:pPr>
              <w:spacing w:after="60"/>
            </w:pPr>
            <w:r>
              <w:rPr>
                <w:sz w:val="17"/>
              </w:rPr>
              <w:t>Episodic learning</w:t>
            </w:r>
          </w:p>
        </w:tc>
        <w:tc>
          <w:tcPr>
            <w:tcW w:type="dxa" w:w="3600"/>
            <w:vAlign w:val="top"/>
          </w:tcPr>
          <w:p>
            <w:pPr>
              <w:spacing w:after="60"/>
            </w:pPr>
            <w:r>
              <w:rPr>
                <w:sz w:val="17"/>
              </w:rPr>
              <w:t>Concept attempts, misconceptions, questions, answers, confidence</w:t>
            </w:r>
          </w:p>
        </w:tc>
        <w:tc>
          <w:tcPr>
            <w:tcW w:type="dxa" w:w="3960"/>
            <w:vAlign w:val="top"/>
          </w:tcPr>
          <w:p>
            <w:pPr>
              <w:spacing w:after="60"/>
            </w:pPr>
            <w:r>
              <w:rPr>
                <w:sz w:val="17"/>
              </w:rPr>
              <w:t>Retrieve only same concept, prerequisite, or strongly related weak-topic events.</w:t>
            </w:r>
          </w:p>
        </w:tc>
      </w:tr>
      <w:tr>
        <w:tc>
          <w:tcPr>
            <w:tcW w:type="dxa" w:w="1800"/>
            <w:vAlign w:val="top"/>
          </w:tcPr>
          <w:p>
            <w:pPr>
              <w:spacing w:after="60"/>
            </w:pPr>
            <w:r>
              <w:rPr>
                <w:sz w:val="17"/>
              </w:rPr>
              <w:t>Mastery state</w:t>
            </w:r>
          </w:p>
        </w:tc>
        <w:tc>
          <w:tcPr>
            <w:tcW w:type="dxa" w:w="3600"/>
            <w:vAlign w:val="top"/>
          </w:tcPr>
          <w:p>
            <w:pPr>
              <w:spacing w:after="60"/>
            </w:pPr>
            <w:r>
              <w:rPr>
                <w:sz w:val="17"/>
              </w:rPr>
              <w:t>Per-concept score, attempts, last reviewed, weak flags</w:t>
            </w:r>
          </w:p>
        </w:tc>
        <w:tc>
          <w:tcPr>
            <w:tcW w:type="dxa" w:w="3960"/>
            <w:vAlign w:val="top"/>
          </w:tcPr>
          <w:p>
            <w:pPr>
              <w:spacing w:after="60"/>
            </w:pPr>
            <w:r>
              <w:rPr>
                <w:sz w:val="17"/>
              </w:rPr>
              <w:t>Deterministic compact values; never include full attempt transcripts.</w:t>
            </w:r>
          </w:p>
        </w:tc>
      </w:tr>
      <w:tr>
        <w:tc>
          <w:tcPr>
            <w:tcW w:type="dxa" w:w="1800"/>
            <w:vAlign w:val="top"/>
          </w:tcPr>
          <w:p>
            <w:pPr>
              <w:spacing w:after="60"/>
            </w:pPr>
            <w:r>
              <w:rPr>
                <w:sz w:val="17"/>
              </w:rPr>
              <w:t>Rolling session summary</w:t>
            </w:r>
          </w:p>
        </w:tc>
        <w:tc>
          <w:tcPr>
            <w:tcW w:type="dxa" w:w="3600"/>
            <w:vAlign w:val="top"/>
          </w:tcPr>
          <w:p>
            <w:pPr>
              <w:spacing w:after="60"/>
            </w:pPr>
            <w:r>
              <w:rPr>
                <w:sz w:val="17"/>
              </w:rPr>
              <w:t>Recent goals, unresolved questions, commitments, corrections</w:t>
            </w:r>
          </w:p>
        </w:tc>
        <w:tc>
          <w:tcPr>
            <w:tcW w:type="dxa" w:w="3960"/>
            <w:vAlign w:val="top"/>
          </w:tcPr>
          <w:p>
            <w:pPr>
              <w:spacing w:after="60"/>
            </w:pPr>
            <w:r>
              <w:rPr>
                <w:sz w:val="17"/>
              </w:rPr>
              <w:t>150–300 tokens; update after a meaningful turn, not every message.</w:t>
            </w:r>
          </w:p>
        </w:tc>
      </w:tr>
      <w:tr>
        <w:tc>
          <w:tcPr>
            <w:tcW w:type="dxa" w:w="1800"/>
            <w:vAlign w:val="top"/>
          </w:tcPr>
          <w:p>
            <w:pPr>
              <w:spacing w:after="60"/>
            </w:pPr>
            <w:r>
              <w:rPr>
                <w:sz w:val="17"/>
              </w:rPr>
              <w:t>Verified lesson cache</w:t>
            </w:r>
          </w:p>
        </w:tc>
        <w:tc>
          <w:tcPr>
            <w:tcW w:type="dxa" w:w="3600"/>
            <w:vAlign w:val="top"/>
          </w:tcPr>
          <w:p>
            <w:pPr>
              <w:spacing w:after="60"/>
            </w:pPr>
            <w:r>
              <w:rPr>
                <w:sz w:val="17"/>
              </w:rPr>
              <w:t>Final lesson, evidence/version IDs, level and language</w:t>
            </w:r>
          </w:p>
        </w:tc>
        <w:tc>
          <w:tcPr>
            <w:tcW w:type="dxa" w:w="3960"/>
            <w:vAlign w:val="top"/>
          </w:tcPr>
          <w:p>
            <w:pPr>
              <w:spacing w:after="60"/>
            </w:pPr>
            <w:r>
              <w:rPr>
                <w:sz w:val="17"/>
              </w:rPr>
              <w:t>Reuse directly when inputs and versions match; no new generation tokens.</w:t>
            </w:r>
          </w:p>
        </w:tc>
      </w:tr>
    </w:tbl>
    <w:p>
      <w:pPr>
        <w:spacing w:after="0"/>
      </w:pPr>
    </w:p>
    <w:p>
      <w:pPr>
        <w:pStyle w:val="Heading2"/>
      </w:pPr>
      <w:r>
        <w:t>9.1 Context assembly and token budget</w:t>
      </w:r>
    </w:p>
    <w:p>
      <w:pPr>
        <w:pStyle w:val="ListNumber"/>
        <w:spacing w:after="60"/>
      </w:pPr>
      <w:r>
        <w:t>Normalize the request and resolve the canonical concept before memory retrieval.</w:t>
      </w:r>
    </w:p>
    <w:p>
      <w:pPr>
        <w:pStyle w:val="ListNumber"/>
        <w:spacing w:after="60"/>
      </w:pPr>
      <w:r>
        <w:t>Load deterministic profile and mastery fields from SQLite; do not ask an LLM to rediscover them.</w:t>
      </w:r>
    </w:p>
    <w:p>
      <w:pPr>
        <w:pStyle w:val="ListNumber"/>
        <w:spacing w:after="60"/>
      </w:pPr>
      <w:r>
        <w:t>Retrieve memory candidates by concept tags, prerequisites, recency, salience, and semantic similarity.</w:t>
      </w:r>
    </w:p>
    <w:p>
      <w:pPr>
        <w:pStyle w:val="ListNumber"/>
        <w:spacing w:after="60"/>
      </w:pPr>
      <w:r>
        <w:t>Deduplicate candidates and discard expired, contradicted, or low-confidence inferred memories.</w:t>
      </w:r>
    </w:p>
    <w:p>
      <w:pPr>
        <w:pStyle w:val="ListNumber"/>
        <w:spacing w:after="60"/>
      </w:pPr>
      <w:r>
        <w:t>Build a fixed-order context pack: system/policy → task and level rubric → authoritative evidence → relevant learner memory → output schema.</w:t>
      </w:r>
    </w:p>
    <w:p>
      <w:pPr>
        <w:pStyle w:val="ListNumber"/>
        <w:spacing w:after="60"/>
      </w:pPr>
      <w:r>
        <w:t>Count tokens with the active model tokenizer before sending. Preserve policy, task, and authoritative evidence first; compress or drop learner memories when over budget.</w:t>
      </w:r>
    </w:p>
    <w:p>
      <w:pPr>
        <w:pStyle w:val="ListNumber"/>
        <w:spacing w:after="60"/>
      </w:pPr>
      <w:r>
        <w:t>Record selected memory IDs, token counts, and every dropped section so behavior is observable and reproducible.</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c>
          <w:tcPr>
            <w:tcW w:type="dxa" w:w="2600"/>
            <w:shd w:fill="D9EAF7"/>
            <w:vAlign w:val="center"/>
          </w:tcPr>
          <w:p>
            <w:r>
              <w:rPr>
                <w:b/>
                <w:color w:val="17365D"/>
                <w:sz w:val="18"/>
              </w:rPr>
              <w:t>Prompt section</w:t>
            </w:r>
          </w:p>
        </w:tc>
        <w:tc>
          <w:tcPr>
            <w:tcW w:type="dxa" w:w="2600"/>
            <w:shd w:fill="D9EAF7"/>
            <w:vAlign w:val="center"/>
          </w:tcPr>
          <w:p>
            <w:r>
              <w:rPr>
                <w:b/>
                <w:color w:val="17365D"/>
                <w:sz w:val="18"/>
              </w:rPr>
              <w:t>Initial budget at 8K context</w:t>
            </w:r>
          </w:p>
        </w:tc>
        <w:tc>
          <w:tcPr>
            <w:tcW w:type="dxa" w:w="4160"/>
            <w:shd w:fill="D9EAF7"/>
            <w:vAlign w:val="center"/>
          </w:tcPr>
          <w:p>
            <w:r>
              <w:rPr>
                <w:b/>
                <w:color w:val="17365D"/>
                <w:sz w:val="18"/>
              </w:rPr>
              <w:t>Overflow rule</w:t>
            </w:r>
          </w:p>
        </w:tc>
      </w:tr>
      <w:tr>
        <w:tc>
          <w:tcPr>
            <w:tcW w:type="dxa" w:w="2600"/>
            <w:vAlign w:val="top"/>
          </w:tcPr>
          <w:p>
            <w:pPr>
              <w:spacing w:after="60"/>
            </w:pPr>
            <w:r>
              <w:rPr>
                <w:sz w:val="17"/>
              </w:rPr>
              <w:t>System, safety, output schema</w:t>
            </w:r>
          </w:p>
        </w:tc>
        <w:tc>
          <w:tcPr>
            <w:tcW w:type="dxa" w:w="2600"/>
            <w:vAlign w:val="top"/>
          </w:tcPr>
          <w:p>
            <w:pPr>
              <w:spacing w:after="60"/>
            </w:pPr>
            <w:r>
              <w:rPr>
                <w:sz w:val="17"/>
              </w:rPr>
              <w:t>700 tokens</w:t>
            </w:r>
          </w:p>
        </w:tc>
        <w:tc>
          <w:tcPr>
            <w:tcW w:type="dxa" w:w="4160"/>
            <w:vAlign w:val="top"/>
          </w:tcPr>
          <w:p>
            <w:pPr>
              <w:spacing w:after="60"/>
            </w:pPr>
            <w:r>
              <w:rPr>
                <w:sz w:val="17"/>
              </w:rPr>
              <w:t>Never remove; shorten templates only through reviewed prompt versions.</w:t>
            </w:r>
          </w:p>
        </w:tc>
      </w:tr>
      <w:tr>
        <w:tc>
          <w:tcPr>
            <w:tcW w:type="dxa" w:w="2600"/>
            <w:vAlign w:val="top"/>
          </w:tcPr>
          <w:p>
            <w:pPr>
              <w:spacing w:after="60"/>
            </w:pPr>
            <w:r>
              <w:rPr>
                <w:sz w:val="17"/>
              </w:rPr>
              <w:t>Current task + adaptation rubric</w:t>
            </w:r>
          </w:p>
        </w:tc>
        <w:tc>
          <w:tcPr>
            <w:tcW w:type="dxa" w:w="2600"/>
            <w:vAlign w:val="top"/>
          </w:tcPr>
          <w:p>
            <w:pPr>
              <w:spacing w:after="60"/>
            </w:pPr>
            <w:r>
              <w:rPr>
                <w:sz w:val="17"/>
              </w:rPr>
              <w:t>500 tokens</w:t>
            </w:r>
          </w:p>
        </w:tc>
        <w:tc>
          <w:tcPr>
            <w:tcW w:type="dxa" w:w="4160"/>
            <w:vAlign w:val="top"/>
          </w:tcPr>
          <w:p>
            <w:pPr>
              <w:spacing w:after="60"/>
            </w:pPr>
            <w:r>
              <w:rPr>
                <w:sz w:val="17"/>
              </w:rPr>
              <w:t>Keep canonical concept and required objectives.</w:t>
            </w:r>
          </w:p>
        </w:tc>
      </w:tr>
      <w:tr>
        <w:tc>
          <w:tcPr>
            <w:tcW w:type="dxa" w:w="2600"/>
            <w:vAlign w:val="top"/>
          </w:tcPr>
          <w:p>
            <w:pPr>
              <w:spacing w:after="60"/>
            </w:pPr>
            <w:r>
              <w:rPr>
                <w:sz w:val="17"/>
              </w:rPr>
              <w:t>Authoritative evidence</w:t>
            </w:r>
          </w:p>
        </w:tc>
        <w:tc>
          <w:tcPr>
            <w:tcW w:type="dxa" w:w="2600"/>
            <w:vAlign w:val="top"/>
          </w:tcPr>
          <w:p>
            <w:pPr>
              <w:spacing w:after="60"/>
            </w:pPr>
            <w:r>
              <w:rPr>
                <w:sz w:val="17"/>
              </w:rPr>
              <w:t>3,000 tokens</w:t>
            </w:r>
          </w:p>
        </w:tc>
        <w:tc>
          <w:tcPr>
            <w:tcW w:type="dxa" w:w="4160"/>
            <w:vAlign w:val="top"/>
          </w:tcPr>
          <w:p>
            <w:pPr>
              <w:spacing w:after="60"/>
            </w:pPr>
            <w:r>
              <w:rPr>
                <w:sz w:val="17"/>
              </w:rPr>
              <w:t>Select chunks by objective coverage; never replace facts with a memory summary.</w:t>
            </w:r>
          </w:p>
        </w:tc>
      </w:tr>
      <w:tr>
        <w:tc>
          <w:tcPr>
            <w:tcW w:type="dxa" w:w="2600"/>
            <w:vAlign w:val="top"/>
          </w:tcPr>
          <w:p>
            <w:pPr>
              <w:spacing w:after="60"/>
            </w:pPr>
            <w:r>
              <w:rPr>
                <w:sz w:val="17"/>
              </w:rPr>
              <w:t>Learner context memory</w:t>
            </w:r>
          </w:p>
        </w:tc>
        <w:tc>
          <w:tcPr>
            <w:tcW w:type="dxa" w:w="2600"/>
            <w:vAlign w:val="top"/>
          </w:tcPr>
          <w:p>
            <w:pPr>
              <w:spacing w:after="60"/>
            </w:pPr>
            <w:r>
              <w:rPr>
                <w:sz w:val="17"/>
              </w:rPr>
              <w:t>600 tokens</w:t>
            </w:r>
          </w:p>
        </w:tc>
        <w:tc>
          <w:tcPr>
            <w:tcW w:type="dxa" w:w="4160"/>
            <w:vAlign w:val="top"/>
          </w:tcPr>
          <w:p>
            <w:pPr>
              <w:spacing w:after="60"/>
            </w:pPr>
            <w:r>
              <w:rPr>
                <w:sz w:val="17"/>
              </w:rPr>
              <w:t>Rank, compress, then drop lowest-salience episodic items.</w:t>
            </w:r>
          </w:p>
        </w:tc>
      </w:tr>
      <w:tr>
        <w:tc>
          <w:tcPr>
            <w:tcW w:type="dxa" w:w="2600"/>
            <w:vAlign w:val="top"/>
          </w:tcPr>
          <w:p>
            <w:pPr>
              <w:spacing w:after="60"/>
            </w:pPr>
            <w:r>
              <w:rPr>
                <w:sz w:val="17"/>
              </w:rPr>
              <w:t>Conversation / unresolved question</w:t>
            </w:r>
          </w:p>
        </w:tc>
        <w:tc>
          <w:tcPr>
            <w:tcW w:type="dxa" w:w="2600"/>
            <w:vAlign w:val="top"/>
          </w:tcPr>
          <w:p>
            <w:pPr>
              <w:spacing w:after="60"/>
            </w:pPr>
            <w:r>
              <w:rPr>
                <w:sz w:val="17"/>
              </w:rPr>
              <w:t>400 tokens</w:t>
            </w:r>
          </w:p>
        </w:tc>
        <w:tc>
          <w:tcPr>
            <w:tcW w:type="dxa" w:w="4160"/>
            <w:vAlign w:val="top"/>
          </w:tcPr>
          <w:p>
            <w:pPr>
              <w:spacing w:after="60"/>
            </w:pPr>
            <w:r>
              <w:rPr>
                <w:sz w:val="17"/>
              </w:rPr>
              <w:t>Rolling summary plus last user turn; never full transcript by default.</w:t>
            </w:r>
          </w:p>
        </w:tc>
      </w:tr>
      <w:tr>
        <w:tc>
          <w:tcPr>
            <w:tcW w:type="dxa" w:w="2600"/>
            <w:vAlign w:val="top"/>
          </w:tcPr>
          <w:p>
            <w:pPr>
              <w:spacing w:after="60"/>
            </w:pPr>
            <w:r>
              <w:rPr>
                <w:sz w:val="17"/>
              </w:rPr>
              <w:t>Generation reserve</w:t>
            </w:r>
          </w:p>
        </w:tc>
        <w:tc>
          <w:tcPr>
            <w:tcW w:type="dxa" w:w="2600"/>
            <w:vAlign w:val="top"/>
          </w:tcPr>
          <w:p>
            <w:pPr>
              <w:spacing w:after="60"/>
            </w:pPr>
            <w:r>
              <w:rPr>
                <w:sz w:val="17"/>
              </w:rPr>
              <w:t>2,500 tokens</w:t>
            </w:r>
          </w:p>
        </w:tc>
        <w:tc>
          <w:tcPr>
            <w:tcW w:type="dxa" w:w="4160"/>
            <w:vAlign w:val="top"/>
          </w:tcPr>
          <w:p>
            <w:pPr>
              <w:spacing w:after="60"/>
            </w:pPr>
            <w:r>
              <w:rPr>
                <w:sz w:val="17"/>
              </w:rPr>
              <w:t>Hard output limit based on lesson-duration selection.</w:t>
            </w:r>
          </w:p>
        </w:tc>
      </w:tr>
      <w:tr>
        <w:tc>
          <w:tcPr>
            <w:tcW w:type="dxa" w:w="2600"/>
            <w:vAlign w:val="top"/>
          </w:tcPr>
          <w:p>
            <w:pPr>
              <w:spacing w:after="60"/>
            </w:pPr>
            <w:r>
              <w:rPr>
                <w:sz w:val="17"/>
              </w:rPr>
              <w:t>Safety headroom</w:t>
            </w:r>
          </w:p>
        </w:tc>
        <w:tc>
          <w:tcPr>
            <w:tcW w:type="dxa" w:w="2600"/>
            <w:vAlign w:val="top"/>
          </w:tcPr>
          <w:p>
            <w:pPr>
              <w:spacing w:after="60"/>
            </w:pPr>
            <w:r>
              <w:rPr>
                <w:sz w:val="17"/>
              </w:rPr>
              <w:t>Approximately 300 tokens</w:t>
            </w:r>
          </w:p>
        </w:tc>
        <w:tc>
          <w:tcPr>
            <w:tcW w:type="dxa" w:w="4160"/>
            <w:vAlign w:val="top"/>
          </w:tcPr>
          <w:p>
            <w:pPr>
              <w:spacing w:after="60"/>
            </w:pPr>
            <w:r>
              <w:rPr>
                <w:sz w:val="17"/>
              </w:rPr>
              <w:t>Protect against tokenizer and template variance.</w:t>
            </w:r>
          </w:p>
        </w:tc>
      </w:tr>
    </w:tbl>
    <w:p>
      <w:pPr>
        <w:spacing w:after="0"/>
      </w:pPr>
    </w:p>
    <w:p>
      <w:pPr>
        <w:pStyle w:val="Heading2"/>
      </w:pPr>
      <w:r>
        <w:t>9.2 Memory compaction rules</w:t>
      </w:r>
    </w:p>
    <w:p>
      <w:pPr>
        <w:pStyle w:val="ListBullet"/>
        <w:spacing w:after="60"/>
      </w:pPr>
      <w:r>
        <w:t>Summarize learner context only—not NCERT, legal, scientific, historical, or current-affairs evidence. Authoritative facts always come from retrieval.</w:t>
      </w:r>
    </w:p>
    <w:p>
      <w:pPr>
        <w:pStyle w:val="ListBullet"/>
        <w:spacing w:after="60"/>
      </w:pPr>
      <w:r>
        <w:t>Keep raw learning events as the audit trail. A summary references its source event IDs and can be rebuilt.</w:t>
      </w:r>
    </w:p>
    <w:p>
      <w:pPr>
        <w:pStyle w:val="ListBullet"/>
        <w:spacing w:after="60"/>
      </w:pPr>
      <w:r>
        <w:t>Use deterministic templates for common memory facts before using the model for narrative summaries.</w:t>
      </w:r>
    </w:p>
    <w:p>
      <w:pPr>
        <w:pStyle w:val="ListBullet"/>
        <w:spacing w:after="60"/>
      </w:pPr>
      <w:r>
        <w:t>When a rolling summary exceeds 300 tokens, merge it into a new summary and retain unresolved questions, explicit corrections, preferences, and weak concepts.</w:t>
      </w:r>
    </w:p>
    <w:p>
      <w:pPr>
        <w:pStyle w:val="ListBullet"/>
        <w:spacing w:after="60"/>
      </w:pPr>
      <w:r>
        <w:t>Never persist model chain-of-thought. Store outcomes, decisions, misconceptions, feedback, and verified facts only.</w:t>
      </w:r>
    </w:p>
    <w:p>
      <w:pPr>
        <w:pStyle w:val="ListBullet"/>
        <w:spacing w:after="60"/>
      </w:pPr>
      <w:r>
        <w:t>Expire session context after 7 days and inferred preferences after 30 days unless reinforced; explicit profile choices persist until changed.</w:t>
      </w:r>
    </w:p>
    <w:p>
      <w:pPr>
        <w:pStyle w:val="ListBullet"/>
        <w:spacing w:after="60"/>
      </w:pPr>
      <w:r>
        <w:t>If feedback contradicts a memory, mark the old item superseded rather than silently overwriting the audit trail.</w:t>
      </w:r>
    </w:p>
    <w:p>
      <w:pPr>
        <w:pStyle w:val="Heading2"/>
      </w:pPr>
      <w:r>
        <w:t>9.3 Token-saving order of operations</w:t>
      </w:r>
    </w:p>
    <w:tbl>
      <w:tblPr>
        <w:tblStyle w:val="TableGrid"/>
        <w:tblW w:type="dxa" w:w="9360"/>
        <w:jc w:val="left"/>
        <w:tblLayout w:type="fixed"/>
        <w:tblLook w:firstColumn="1" w:firstRow="1" w:lastColumn="0" w:lastRow="0" w:noHBand="0" w:noVBand="1" w:val="04A0"/>
        <w:tblInd w:w="120" w:type="dxa"/>
      </w:tblPr>
      <w:tblGrid>
        <w:gridCol w:w="900"/>
        <w:gridCol w:w="4300"/>
        <w:gridCol w:w="4160"/>
      </w:tblGrid>
      <w:tr>
        <w:tc>
          <w:tcPr>
            <w:tcW w:type="dxa" w:w="900"/>
            <w:shd w:fill="D9EAF7"/>
            <w:vAlign w:val="center"/>
          </w:tcPr>
          <w:p>
            <w:r>
              <w:rPr>
                <w:b/>
                <w:color w:val="17365D"/>
                <w:sz w:val="18"/>
              </w:rPr>
              <w:t>Priority</w:t>
            </w:r>
          </w:p>
        </w:tc>
        <w:tc>
          <w:tcPr>
            <w:tcW w:type="dxa" w:w="4300"/>
            <w:shd w:fill="D9EAF7"/>
            <w:vAlign w:val="center"/>
          </w:tcPr>
          <w:p>
            <w:r>
              <w:rPr>
                <w:b/>
                <w:color w:val="17365D"/>
                <w:sz w:val="18"/>
              </w:rPr>
              <w:t>Mechanism</w:t>
            </w:r>
          </w:p>
        </w:tc>
        <w:tc>
          <w:tcPr>
            <w:tcW w:type="dxa" w:w="4160"/>
            <w:shd w:fill="D9EAF7"/>
            <w:vAlign w:val="center"/>
          </w:tcPr>
          <w:p>
            <w:r>
              <w:rPr>
                <w:b/>
                <w:color w:val="17365D"/>
                <w:sz w:val="18"/>
              </w:rPr>
              <w:t>Expected effect</w:t>
            </w:r>
          </w:p>
        </w:tc>
      </w:tr>
      <w:tr>
        <w:tc>
          <w:tcPr>
            <w:tcW w:type="dxa" w:w="900"/>
            <w:vAlign w:val="top"/>
          </w:tcPr>
          <w:p>
            <w:pPr>
              <w:spacing w:after="60"/>
            </w:pPr>
            <w:r>
              <w:rPr>
                <w:sz w:val="17"/>
              </w:rPr>
              <w:t>1</w:t>
            </w:r>
          </w:p>
        </w:tc>
        <w:tc>
          <w:tcPr>
            <w:tcW w:type="dxa" w:w="4300"/>
            <w:vAlign w:val="top"/>
          </w:tcPr>
          <w:p>
            <w:pPr>
              <w:spacing w:after="60"/>
            </w:pPr>
            <w:r>
              <w:rPr>
                <w:sz w:val="17"/>
              </w:rPr>
              <w:t>Return a cached verified lesson when concept, level band, language, content, model, and prompt versions match.</w:t>
            </w:r>
          </w:p>
        </w:tc>
        <w:tc>
          <w:tcPr>
            <w:tcW w:type="dxa" w:w="4160"/>
            <w:vAlign w:val="top"/>
          </w:tcPr>
          <w:p>
            <w:pPr>
              <w:spacing w:after="60"/>
            </w:pPr>
            <w:r>
              <w:rPr>
                <w:sz w:val="17"/>
              </w:rPr>
              <w:t>Eliminates generation tokens for repeat views.</w:t>
            </w:r>
          </w:p>
        </w:tc>
      </w:tr>
      <w:tr>
        <w:tc>
          <w:tcPr>
            <w:tcW w:type="dxa" w:w="900"/>
            <w:vAlign w:val="top"/>
          </w:tcPr>
          <w:p>
            <w:pPr>
              <w:spacing w:after="60"/>
            </w:pPr>
            <w:r>
              <w:rPr>
                <w:sz w:val="17"/>
              </w:rPr>
              <w:t>2</w:t>
            </w:r>
          </w:p>
        </w:tc>
        <w:tc>
          <w:tcPr>
            <w:tcW w:type="dxa" w:w="4300"/>
            <w:vAlign w:val="top"/>
          </w:tcPr>
          <w:p>
            <w:pPr>
              <w:spacing w:after="60"/>
            </w:pPr>
            <w:r>
              <w:rPr>
                <w:sz w:val="17"/>
              </w:rPr>
              <w:t>Use structured profile/mastery fields instead of prose history.</w:t>
            </w:r>
          </w:p>
        </w:tc>
        <w:tc>
          <w:tcPr>
            <w:tcW w:type="dxa" w:w="4160"/>
            <w:vAlign w:val="top"/>
          </w:tcPr>
          <w:p>
            <w:pPr>
              <w:spacing w:after="60"/>
            </w:pPr>
            <w:r>
              <w:rPr>
                <w:sz w:val="17"/>
              </w:rPr>
              <w:t>Large reduction in repeated context.</w:t>
            </w:r>
          </w:p>
        </w:tc>
      </w:tr>
      <w:tr>
        <w:tc>
          <w:tcPr>
            <w:tcW w:type="dxa" w:w="900"/>
            <w:vAlign w:val="top"/>
          </w:tcPr>
          <w:p>
            <w:pPr>
              <w:spacing w:after="60"/>
            </w:pPr>
            <w:r>
              <w:rPr>
                <w:sz w:val="17"/>
              </w:rPr>
              <w:t>3</w:t>
            </w:r>
          </w:p>
        </w:tc>
        <w:tc>
          <w:tcPr>
            <w:tcW w:type="dxa" w:w="4300"/>
            <w:vAlign w:val="top"/>
          </w:tcPr>
          <w:p>
            <w:pPr>
              <w:spacing w:after="60"/>
            </w:pPr>
            <w:r>
              <w:rPr>
                <w:sz w:val="17"/>
              </w:rPr>
              <w:t>Retrieve top relevant memories instead of full chat.</w:t>
            </w:r>
          </w:p>
        </w:tc>
        <w:tc>
          <w:tcPr>
            <w:tcW w:type="dxa" w:w="4160"/>
            <w:vAlign w:val="top"/>
          </w:tcPr>
          <w:p>
            <w:pPr>
              <w:spacing w:after="60"/>
            </w:pPr>
            <w:r>
              <w:rPr>
                <w:sz w:val="17"/>
              </w:rPr>
              <w:t>Context grows with relevance, not account age.</w:t>
            </w:r>
          </w:p>
        </w:tc>
      </w:tr>
      <w:tr>
        <w:tc>
          <w:tcPr>
            <w:tcW w:type="dxa" w:w="900"/>
            <w:vAlign w:val="top"/>
          </w:tcPr>
          <w:p>
            <w:pPr>
              <w:spacing w:after="60"/>
            </w:pPr>
            <w:r>
              <w:rPr>
                <w:sz w:val="17"/>
              </w:rPr>
              <w:t>4</w:t>
            </w:r>
          </w:p>
        </w:tc>
        <w:tc>
          <w:tcPr>
            <w:tcW w:type="dxa" w:w="4300"/>
            <w:vAlign w:val="top"/>
          </w:tcPr>
          <w:p>
            <w:pPr>
              <w:spacing w:after="60"/>
            </w:pPr>
            <w:r>
              <w:rPr>
                <w:sz w:val="17"/>
              </w:rPr>
              <w:t>Use a rolling summary plus the last user turn.</w:t>
            </w:r>
          </w:p>
        </w:tc>
        <w:tc>
          <w:tcPr>
            <w:tcW w:type="dxa" w:w="4160"/>
            <w:vAlign w:val="top"/>
          </w:tcPr>
          <w:p>
            <w:pPr>
              <w:spacing w:after="60"/>
            </w:pPr>
            <w:r>
              <w:rPr>
                <w:sz w:val="17"/>
              </w:rPr>
              <w:t>Preserves continuity with bounded size.</w:t>
            </w:r>
          </w:p>
        </w:tc>
      </w:tr>
      <w:tr>
        <w:tc>
          <w:tcPr>
            <w:tcW w:type="dxa" w:w="900"/>
            <w:vAlign w:val="top"/>
          </w:tcPr>
          <w:p>
            <w:pPr>
              <w:spacing w:after="60"/>
            </w:pPr>
            <w:r>
              <w:rPr>
                <w:sz w:val="17"/>
              </w:rPr>
              <w:t>5</w:t>
            </w:r>
          </w:p>
        </w:tc>
        <w:tc>
          <w:tcPr>
            <w:tcW w:type="dxa" w:w="4300"/>
            <w:vAlign w:val="top"/>
          </w:tcPr>
          <w:p>
            <w:pPr>
              <w:spacing w:after="60"/>
            </w:pPr>
            <w:r>
              <w:rPr>
                <w:sz w:val="17"/>
              </w:rPr>
              <w:t>Use prompt-prefix caching in a supported runtime.</w:t>
            </w:r>
          </w:p>
        </w:tc>
        <w:tc>
          <w:tcPr>
            <w:tcW w:type="dxa" w:w="4160"/>
            <w:vAlign w:val="top"/>
          </w:tcPr>
          <w:p>
            <w:pPr>
              <w:spacing w:after="60"/>
            </w:pPr>
            <w:r>
              <w:rPr>
                <w:sz w:val="17"/>
              </w:rPr>
              <w:t>Reduces repeated computation; local inference has no billed-token saving.</w:t>
            </w:r>
          </w:p>
        </w:tc>
      </w:tr>
      <w:tr>
        <w:tc>
          <w:tcPr>
            <w:tcW w:type="dxa" w:w="900"/>
            <w:vAlign w:val="top"/>
          </w:tcPr>
          <w:p>
            <w:pPr>
              <w:spacing w:after="60"/>
            </w:pPr>
            <w:r>
              <w:rPr>
                <w:sz w:val="17"/>
              </w:rPr>
              <w:t>6</w:t>
            </w:r>
          </w:p>
        </w:tc>
        <w:tc>
          <w:tcPr>
            <w:tcW w:type="dxa" w:w="4300"/>
            <w:vAlign w:val="top"/>
          </w:tcPr>
          <w:p>
            <w:pPr>
              <w:spacing w:after="60"/>
            </w:pPr>
            <w:r>
              <w:rPr>
                <w:sz w:val="17"/>
              </w:rPr>
              <w:t>Give planner, writer, and verifier separate minimal contexts.</w:t>
            </w:r>
          </w:p>
        </w:tc>
        <w:tc>
          <w:tcPr>
            <w:tcW w:type="dxa" w:w="4160"/>
            <w:vAlign w:val="top"/>
          </w:tcPr>
          <w:p>
            <w:pPr>
              <w:spacing w:after="60"/>
            </w:pPr>
            <w:r>
              <w:rPr>
                <w:sz w:val="17"/>
              </w:rPr>
              <w:t>Each stage receives only the fields it needs.</w:t>
            </w:r>
          </w:p>
        </w:tc>
      </w:tr>
    </w:tbl>
    <w:p>
      <w:pPr>
        <w:spacing w:after="0"/>
      </w:pPr>
    </w:p>
    <w:p>
      <w:r>
        <w:t>Simplest mastery rule: start at 0.0; after each three-question check, blend the latest accuracy with previous mastery (for example, 60% prior + 40% latest), then apply a small time-decay when selecting revision topics. Keep this rule visible and testable. Do not let the LLM assign mastery.</w:t>
      </w:r>
    </w:p>
    <w:p>
      <w:pPr>
        <w:pStyle w:val="RiskCallout"/>
      </w:pPr>
      <w:r>
        <w:rPr>
          <w:b/>
        </w:rPr>
        <w:t xml:space="preserve">Accuracy boundary: </w:t>
      </w:r>
      <w:r>
        <w:t>Context memory improves personalization and efficiency, but it is not a factual knowledge source. A remembered learner claim must never override retrieved authoritative content.</w:t>
      </w:r>
    </w:p>
    <w:p>
      <w:pPr>
        <w:pStyle w:val="Heading1"/>
      </w:pPr>
      <w:r>
        <w:t>10. Content and Training Data Strategy</w:t>
      </w:r>
    </w:p>
    <w:p>
      <w:r>
        <w:t>This is primarily a retrieval corpus, not “training data.” Do not fine-tune personal learning history or copyrighted exam books into a shared model. Acquire, catalogue, and chunk only material with documented usage rights. Preserve page/section provenance and checksums.</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c>
          <w:tcPr>
            <w:tcW w:type="dxa" w:w="1800"/>
            <w:shd w:fill="D9EAF7"/>
            <w:vAlign w:val="center"/>
          </w:tcPr>
          <w:p>
            <w:r>
              <w:rPr>
                <w:b/>
                <w:color w:val="17365D"/>
                <w:sz w:val="18"/>
              </w:rPr>
              <w:t>Source</w:t>
            </w:r>
          </w:p>
        </w:tc>
        <w:tc>
          <w:tcPr>
            <w:tcW w:type="dxa" w:w="3500"/>
            <w:shd w:fill="D9EAF7"/>
            <w:vAlign w:val="center"/>
          </w:tcPr>
          <w:p>
            <w:r>
              <w:rPr>
                <w:b/>
                <w:color w:val="17365D"/>
                <w:sz w:val="18"/>
              </w:rPr>
              <w:t>Use</w:t>
            </w:r>
          </w:p>
        </w:tc>
        <w:tc>
          <w:tcPr>
            <w:tcW w:type="dxa" w:w="4060"/>
            <w:shd w:fill="D9EAF7"/>
            <w:vAlign w:val="center"/>
          </w:tcPr>
          <w:p>
            <w:r>
              <w:rPr>
                <w:b/>
                <w:color w:val="17365D"/>
                <w:sz w:val="18"/>
              </w:rPr>
              <w:t>Controls</w:t>
            </w:r>
          </w:p>
        </w:tc>
      </w:tr>
      <w:tr>
        <w:tc>
          <w:tcPr>
            <w:tcW w:type="dxa" w:w="1800"/>
            <w:vAlign w:val="top"/>
          </w:tcPr>
          <w:p>
            <w:pPr>
              <w:spacing w:after="60"/>
            </w:pPr>
            <w:r>
              <w:rPr>
                <w:sz w:val="17"/>
              </w:rPr>
              <w:t>NCERT textbooks</w:t>
            </w:r>
          </w:p>
        </w:tc>
        <w:tc>
          <w:tcPr>
            <w:tcW w:type="dxa" w:w="3500"/>
            <w:vAlign w:val="top"/>
          </w:tcPr>
          <w:p>
            <w:pPr>
              <w:spacing w:after="60"/>
            </w:pPr>
            <w:r>
              <w:rPr>
                <w:sz w:val="17"/>
              </w:rPr>
              <w:t>Foundational static concepts; ingest only copies lawfully obtained and used under applicable terms.</w:t>
            </w:r>
          </w:p>
        </w:tc>
        <w:tc>
          <w:tcPr>
            <w:tcW w:type="dxa" w:w="4060"/>
            <w:vAlign w:val="top"/>
          </w:tcPr>
          <w:p>
            <w:pPr>
              <w:spacing w:after="60"/>
            </w:pPr>
            <w:r>
              <w:rPr>
                <w:sz w:val="17"/>
              </w:rPr>
              <w:t>Record title, class, edition, page. Do not redistribute extracted corpus without rights review.</w:t>
            </w:r>
          </w:p>
        </w:tc>
      </w:tr>
      <w:tr>
        <w:tc>
          <w:tcPr>
            <w:tcW w:type="dxa" w:w="1800"/>
            <w:vAlign w:val="top"/>
          </w:tcPr>
          <w:p>
            <w:pPr>
              <w:spacing w:after="60"/>
            </w:pPr>
            <w:r>
              <w:rPr>
                <w:sz w:val="17"/>
              </w:rPr>
              <w:t>Official government sources</w:t>
            </w:r>
          </w:p>
        </w:tc>
        <w:tc>
          <w:tcPr>
            <w:tcW w:type="dxa" w:w="3500"/>
            <w:vAlign w:val="top"/>
          </w:tcPr>
          <w:p>
            <w:pPr>
              <w:spacing w:after="60"/>
            </w:pPr>
            <w:r>
              <w:rPr>
                <w:sz w:val="17"/>
              </w:rPr>
              <w:t>Constitution text, Acts/rules, PIB, ministries, RBI, Census, ISRO and other primary facts.</w:t>
            </w:r>
          </w:p>
        </w:tc>
        <w:tc>
          <w:tcPr>
            <w:tcW w:type="dxa" w:w="4060"/>
            <w:vAlign w:val="top"/>
          </w:tcPr>
          <w:p>
            <w:pPr>
              <w:spacing w:after="60"/>
            </w:pPr>
            <w:r>
              <w:rPr>
                <w:sz w:val="17"/>
              </w:rPr>
              <w:t>Authority tier A; effective date and amendment/version mandatory.</w:t>
            </w:r>
          </w:p>
        </w:tc>
      </w:tr>
      <w:tr>
        <w:tc>
          <w:tcPr>
            <w:tcW w:type="dxa" w:w="1800"/>
            <w:vAlign w:val="top"/>
          </w:tcPr>
          <w:p>
            <w:pPr>
              <w:spacing w:after="60"/>
            </w:pPr>
            <w:r>
              <w:rPr>
                <w:sz w:val="17"/>
              </w:rPr>
              <w:t>Exam notification and syllabus</w:t>
            </w:r>
          </w:p>
        </w:tc>
        <w:tc>
          <w:tcPr>
            <w:tcW w:type="dxa" w:w="3500"/>
            <w:vAlign w:val="top"/>
          </w:tcPr>
          <w:p>
            <w:pPr>
              <w:spacing w:after="60"/>
            </w:pPr>
            <w:r>
              <w:rPr>
                <w:sz w:val="17"/>
              </w:rPr>
              <w:t>Canonical concept taxonomy and scope.</w:t>
            </w:r>
          </w:p>
        </w:tc>
        <w:tc>
          <w:tcPr>
            <w:tcW w:type="dxa" w:w="4060"/>
            <w:vAlign w:val="top"/>
          </w:tcPr>
          <w:p>
            <w:pPr>
              <w:spacing w:after="60"/>
            </w:pPr>
            <w:r>
              <w:rPr>
                <w:sz w:val="17"/>
              </w:rPr>
              <w:t>Version per exam cycle; never infer current syllabus from old material.</w:t>
            </w:r>
          </w:p>
        </w:tc>
      </w:tr>
      <w:tr>
        <w:tc>
          <w:tcPr>
            <w:tcW w:type="dxa" w:w="1800"/>
            <w:vAlign w:val="top"/>
          </w:tcPr>
          <w:p>
            <w:pPr>
              <w:spacing w:after="60"/>
            </w:pPr>
            <w:r>
              <w:rPr>
                <w:sz w:val="17"/>
              </w:rPr>
              <w:t>Open educational resources</w:t>
            </w:r>
          </w:p>
        </w:tc>
        <w:tc>
          <w:tcPr>
            <w:tcW w:type="dxa" w:w="3500"/>
            <w:vAlign w:val="top"/>
          </w:tcPr>
          <w:p>
            <w:pPr>
              <w:spacing w:after="60"/>
            </w:pPr>
            <w:r>
              <w:rPr>
                <w:sz w:val="17"/>
              </w:rPr>
              <w:t>Supplement explanations where licenses permit (e.g., CC BY/CC BY-SA).</w:t>
            </w:r>
          </w:p>
        </w:tc>
        <w:tc>
          <w:tcPr>
            <w:tcW w:type="dxa" w:w="4060"/>
            <w:vAlign w:val="top"/>
          </w:tcPr>
          <w:p>
            <w:pPr>
              <w:spacing w:after="60"/>
            </w:pPr>
            <w:r>
              <w:rPr>
                <w:sz w:val="17"/>
              </w:rPr>
              <w:t>Store license and attribution; avoid incompatible share-alike mixing in exports.</w:t>
            </w:r>
          </w:p>
        </w:tc>
      </w:tr>
      <w:tr>
        <w:tc>
          <w:tcPr>
            <w:tcW w:type="dxa" w:w="1800"/>
            <w:vAlign w:val="top"/>
          </w:tcPr>
          <w:p>
            <w:pPr>
              <w:spacing w:after="60"/>
            </w:pPr>
            <w:r>
              <w:rPr>
                <w:sz w:val="17"/>
              </w:rPr>
              <w:t>Wikipedia/Wikimedia</w:t>
            </w:r>
          </w:p>
        </w:tc>
        <w:tc>
          <w:tcPr>
            <w:tcW w:type="dxa" w:w="3500"/>
            <w:vAlign w:val="top"/>
          </w:tcPr>
          <w:p>
            <w:pPr>
              <w:spacing w:after="60"/>
            </w:pPr>
            <w:r>
              <w:rPr>
                <w:sz w:val="17"/>
              </w:rPr>
              <w:t>Discovery, background, and cross-checking—not final authority for disputed/current claims.</w:t>
            </w:r>
          </w:p>
        </w:tc>
        <w:tc>
          <w:tcPr>
            <w:tcW w:type="dxa" w:w="4060"/>
            <w:vAlign w:val="top"/>
          </w:tcPr>
          <w:p>
            <w:pPr>
              <w:spacing w:after="60"/>
            </w:pPr>
            <w:r>
              <w:rPr>
                <w:sz w:val="17"/>
              </w:rPr>
              <w:t>Snapshot revision ID/date; prefer cited primary source.</w:t>
            </w:r>
          </w:p>
        </w:tc>
      </w:tr>
      <w:tr>
        <w:tc>
          <w:tcPr>
            <w:tcW w:type="dxa" w:w="1800"/>
            <w:vAlign w:val="top"/>
          </w:tcPr>
          <w:p>
            <w:pPr>
              <w:spacing w:after="60"/>
            </w:pPr>
            <w:r>
              <w:rPr>
                <w:sz w:val="17"/>
              </w:rPr>
              <w:t>Government exam books</w:t>
            </w:r>
          </w:p>
        </w:tc>
        <w:tc>
          <w:tcPr>
            <w:tcW w:type="dxa" w:w="3500"/>
            <w:vAlign w:val="top"/>
          </w:tcPr>
          <w:p>
            <w:pPr>
              <w:spacing w:after="60"/>
            </w:pPr>
            <w:r>
              <w:rPr>
                <w:sz w:val="17"/>
              </w:rPr>
              <w:t>Use only with explicit license/permission; not assumed free because a PDF exists.</w:t>
            </w:r>
          </w:p>
        </w:tc>
        <w:tc>
          <w:tcPr>
            <w:tcW w:type="dxa" w:w="4060"/>
            <w:vAlign w:val="top"/>
          </w:tcPr>
          <w:p>
            <w:pPr>
              <w:spacing w:after="60"/>
            </w:pPr>
            <w:r>
              <w:rPr>
                <w:sz w:val="17"/>
              </w:rPr>
              <w:t>Do not scrape or redistribute commercial books.</w:t>
            </w:r>
          </w:p>
        </w:tc>
      </w:tr>
      <w:tr>
        <w:tc>
          <w:tcPr>
            <w:tcW w:type="dxa" w:w="1800"/>
            <w:vAlign w:val="top"/>
          </w:tcPr>
          <w:p>
            <w:pPr>
              <w:spacing w:after="60"/>
            </w:pPr>
            <w:r>
              <w:rPr>
                <w:sz w:val="17"/>
              </w:rPr>
              <w:t>Question banks</w:t>
            </w:r>
          </w:p>
        </w:tc>
        <w:tc>
          <w:tcPr>
            <w:tcW w:type="dxa" w:w="3500"/>
            <w:vAlign w:val="top"/>
          </w:tcPr>
          <w:p>
            <w:pPr>
              <w:spacing w:after="60"/>
            </w:pPr>
            <w:r>
              <w:rPr>
                <w:sz w:val="17"/>
              </w:rPr>
              <w:t>Use official/public-domain/licensed questions for evaluation and later quizzes.</w:t>
            </w:r>
          </w:p>
        </w:tc>
        <w:tc>
          <w:tcPr>
            <w:tcW w:type="dxa" w:w="4060"/>
            <w:vAlign w:val="top"/>
          </w:tcPr>
          <w:p>
            <w:pPr>
              <w:spacing w:after="60"/>
            </w:pPr>
            <w:r>
              <w:rPr>
                <w:sz w:val="17"/>
              </w:rPr>
              <w:t>Separate question license; prevent test leakage into content validation.</w:t>
            </w:r>
          </w:p>
        </w:tc>
      </w:tr>
      <w:tr>
        <w:tc>
          <w:tcPr>
            <w:tcW w:type="dxa" w:w="1800"/>
            <w:vAlign w:val="top"/>
          </w:tcPr>
          <w:p>
            <w:pPr>
              <w:spacing w:after="60"/>
            </w:pPr>
            <w:r>
              <w:rPr>
                <w:sz w:val="17"/>
              </w:rPr>
              <w:t>Current affairs</w:t>
            </w:r>
          </w:p>
        </w:tc>
        <w:tc>
          <w:tcPr>
            <w:tcW w:type="dxa" w:w="3500"/>
            <w:vAlign w:val="top"/>
          </w:tcPr>
          <w:p>
            <w:pPr>
              <w:spacing w:after="60"/>
            </w:pPr>
            <w:r>
              <w:rPr>
                <w:sz w:val="17"/>
              </w:rPr>
              <w:t>Curated daily/weekly source packs from authoritative publishers.</w:t>
            </w:r>
          </w:p>
        </w:tc>
        <w:tc>
          <w:tcPr>
            <w:tcW w:type="dxa" w:w="4060"/>
            <w:vAlign w:val="top"/>
          </w:tcPr>
          <w:p>
            <w:pPr>
              <w:spacing w:after="60"/>
            </w:pPr>
            <w:r>
              <w:rPr>
                <w:sz w:val="17"/>
              </w:rPr>
              <w:t>Manual import while offline; published date, event date, valid-through date, expiry.</w:t>
            </w:r>
          </w:p>
        </w:tc>
      </w:tr>
    </w:tbl>
    <w:p>
      <w:pPr>
        <w:spacing w:after="0"/>
      </w:pPr>
    </w:p>
    <w:p>
      <w:pPr>
        <w:pStyle w:val="Heading2"/>
      </w:pPr>
      <w:r>
        <w:t>10.1 Ingestion design</w:t>
      </w:r>
    </w:p>
    <w:p>
      <w:pPr>
        <w:pStyle w:val="ListNumber"/>
        <w:spacing w:after="60"/>
      </w:pPr>
      <w:r>
        <w:t>Register source and license before extraction.</w:t>
      </w:r>
    </w:p>
    <w:p>
      <w:pPr>
        <w:pStyle w:val="ListNumber"/>
        <w:spacing w:after="60"/>
      </w:pPr>
      <w:r>
        <w:t>Extract text with page boundaries; OCR only when needed and flag OCR confidence.</w:t>
      </w:r>
    </w:p>
    <w:p>
      <w:pPr>
        <w:pStyle w:val="ListNumber"/>
        <w:spacing w:after="60"/>
      </w:pPr>
      <w:r>
        <w:t>Normalize whitespace while preserving headings, tables, dates, formulas, and lists.</w:t>
      </w:r>
    </w:p>
    <w:p>
      <w:pPr>
        <w:pStyle w:val="ListNumber"/>
        <w:spacing w:after="60"/>
      </w:pPr>
      <w:r>
        <w:t>Split semantically into 300–700 token chunks with 50–100 token overlap; never mix unrelated sections.</w:t>
      </w:r>
    </w:p>
    <w:p>
      <w:pPr>
        <w:pStyle w:val="ListNumber"/>
        <w:spacing w:after="60"/>
      </w:pPr>
      <w:r>
        <w:t>Attach metadata: source, page, edition, subject, concept tags, authority tier, effective dates, checksum.</w:t>
      </w:r>
    </w:p>
    <w:p>
      <w:pPr>
        <w:pStyle w:val="ListNumber"/>
        <w:spacing w:after="60"/>
      </w:pPr>
      <w:r>
        <w:t>Embed and index; run retrieval tests using representative exam queries.</w:t>
      </w:r>
    </w:p>
    <w:p>
      <w:pPr>
        <w:pStyle w:val="ListNumber"/>
        <w:spacing w:after="60"/>
      </w:pPr>
      <w:r>
        <w:t>Human-review a sample, then promote content pack from DRAFT to APPROVED.</w:t>
      </w:r>
    </w:p>
    <w:p>
      <w:pPr>
        <w:pStyle w:val="ListNumber"/>
        <w:spacing w:after="60"/>
      </w:pPr>
      <w:r>
        <w:t>On replacement, retain the old version for reproducibility and mark it superseded.</w:t>
      </w:r>
    </w:p>
    <w:p>
      <w:pPr>
        <w:pStyle w:val="Heading1"/>
      </w:pPr>
      <w:r>
        <w:t>11. Folder Structure</w:t>
      </w:r>
    </w:p>
    <w:p>
      <w:pPr>
        <w:pStyle w:val="KeyCallout"/>
      </w:pPr>
      <w:r>
        <w:rPr>
          <w:rFonts w:ascii="Consolas" w:hAnsi="Consolas"/>
          <w:sz w:val="16"/>
        </w:rPr>
        <w:t>ai-story-tutor/</w:t>
        <w:br/>
        <w:t xml:space="preserve">  apps/</w:t>
        <w:br/>
        <w:t xml:space="preserve">    web/                 # React PWA</w:t>
        <w:br/>
        <w:t xml:space="preserve">    api/                 # FastAPI entry point</w:t>
        <w:br/>
        <w:t xml:space="preserve">  src/</w:t>
        <w:br/>
        <w:t xml:space="preserve">    tutor/               # orchestration and publication gate</w:t>
        <w:br/>
        <w:t xml:space="preserve">    retrieval/           # chunking, search, evidence packets</w:t>
        <w:br/>
        <w:t xml:space="preserve">    prompts/             # versioned planner/writer/verifier templates</w:t>
        <w:br/>
        <w:t xml:space="preserve">    models/              # runtime adapters; no model weights in Git</w:t>
        <w:br/>
        <w:t xml:space="preserve">    learning/            # mastery and profile rules</w:t>
        <w:br/>
        <w:t xml:space="preserve">    content/             # ingestion and source registry</w:t>
        <w:br/>
        <w:t xml:space="preserve">    observability/       # logs, metrics, health checks</w:t>
        <w:br/>
        <w:t xml:space="preserve">  data/</w:t>
        <w:br/>
        <w:t xml:space="preserve">    sources/             # local approved originals (Git-ignored)</w:t>
        <w:br/>
        <w:t xml:space="preserve">    indexes/             # vectors and lexical index</w:t>
        <w:br/>
        <w:t xml:space="preserve">    app.db               # profile/history/content metadata</w:t>
        <w:br/>
        <w:t xml:space="preserve">  evals/</w:t>
        <w:br/>
        <w:t xml:space="preserve">    golden/              # reviewed concepts, claims, level examples</w:t>
        <w:br/>
        <w:t xml:space="preserve">    retrieval/           # query/relevance judgments</w:t>
        <w:br/>
        <w:t xml:space="preserve">    pedagogy/            # adaptation and story rubrics</w:t>
        <w:br/>
        <w:t xml:space="preserve">  tests/</w:t>
        <w:br/>
        <w:t xml:space="preserve">    unit/ integration/ e2e/ security/</w:t>
        <w:br/>
        <w:t xml:space="preserve">  config/</w:t>
        <w:br/>
        <w:t xml:space="preserve">    models.yaml prompts.yaml policies.yaml</w:t>
        <w:br/>
        <w:t xml:space="preserve">  docs/</w:t>
        <w:br/>
        <w:t xml:space="preserve">    decisions/ source-register/ threat-model/ runbook/</w:t>
        <w:br/>
        <w:t xml:space="preserve">  scripts/               # local setup, ingest, backup, benchmark</w:t>
        <w:br/>
        <w:t xml:space="preserve">  .env.example</w:t>
      </w:r>
    </w:p>
    <w:p>
      <w:pPr>
        <w:pStyle w:val="Heading1"/>
      </w:pPr>
      <w:r>
        <w:t>12. Performance Design</w:t>
      </w:r>
    </w:p>
    <w:p>
      <w:pPr>
        <w:pStyle w:val="ListBullet"/>
        <w:spacing w:after="60"/>
      </w:pPr>
      <w:r>
        <w:t>Keep the active model fully on the RTX GPU; use an 8K context first and enforce the Section 9 token budget before every call.</w:t>
      </w:r>
    </w:p>
    <w:p>
      <w:pPr>
        <w:pStyle w:val="ListBullet"/>
        <w:spacing w:after="60"/>
      </w:pPr>
      <w:r>
        <w:t>Use a wired Gigabit connection where possible; otherwise stable 5 GHz/6 GHz Wi-Fi. Prompt payloads are small, so generation time—not bandwidth—should dominate.</w:t>
      </w:r>
    </w:p>
    <w:p>
      <w:pPr>
        <w:pStyle w:val="ListBullet"/>
        <w:spacing w:after="60"/>
      </w:pPr>
      <w:r>
        <w:t>Warm the model when the RTX PC service starts and retain it in memory; the Dell health check must distinguish network-down, service-down, and model-not-loaded.</w:t>
      </w:r>
    </w:p>
    <w:p>
      <w:pPr>
        <w:pStyle w:val="ListBullet"/>
        <w:spacing w:after="60"/>
      </w:pPr>
      <w:r>
        <w:t>Stream the final story, but do not present it as verified until the gate passes. Show “building and checking lesson,” then stream only the verified/repair-complete version.</w:t>
      </w:r>
    </w:p>
    <w:p>
      <w:pPr>
        <w:pStyle w:val="ListBullet"/>
        <w:spacing w:after="60"/>
      </w:pPr>
      <w:r>
        <w:t>Cache evidence packets, context packs, and verified lessons on the Dell by concept, level band, language, content version, model version, and prompt version.</w:t>
      </w:r>
    </w:p>
    <w:p>
      <w:pPr>
        <w:pStyle w:val="ListBullet"/>
        <w:spacing w:after="60"/>
      </w:pPr>
      <w:r>
        <w:t>Use structured generation for planner/verifier; give each stage only its required context and keep output budget proportional to lesson duration.</w:t>
      </w:r>
    </w:p>
    <w:p>
      <w:pPr>
        <w:pStyle w:val="ListBullet"/>
        <w:spacing w:after="60"/>
      </w:pPr>
      <w:r>
        <w:t>Use one generation request at a time; queue concurrent work on the Dell to prevent RTX VRAM thrashing.</w:t>
      </w:r>
    </w:p>
    <w:p>
      <w:pPr>
        <w:pStyle w:val="ListBullet"/>
        <w:spacing w:after="60"/>
      </w:pPr>
      <w:r>
        <w:t>Measure input tokens by prompt section, cache-hit rate, compaction rate, round-trip LAN time, first token, generation, verification, VRAM peak, and cold/warm startup.</w:t>
      </w:r>
    </w:p>
    <w:tbl>
      <w:tblPr>
        <w:tblStyle w:val="TableGrid"/>
        <w:tblW w:type="dxa" w:w="9360"/>
        <w:jc w:val="left"/>
        <w:tblLayout w:type="fixed"/>
        <w:tblLook w:firstColumn="1" w:firstRow="1" w:lastColumn="0" w:lastRow="0" w:noHBand="0" w:noVBand="1" w:val="04A0"/>
        <w:tblInd w:w="120" w:type="dxa"/>
      </w:tblPr>
      <w:tblGrid>
        <w:gridCol w:w="3000"/>
        <w:gridCol w:w="6360"/>
      </w:tblGrid>
      <w:tr>
        <w:tc>
          <w:tcPr>
            <w:tcW w:type="dxa" w:w="3000"/>
            <w:shd w:fill="D9EAF7"/>
            <w:vAlign w:val="center"/>
          </w:tcPr>
          <w:p>
            <w:r>
              <w:rPr>
                <w:b/>
                <w:color w:val="17365D"/>
                <w:sz w:val="18"/>
              </w:rPr>
              <w:t>Budget component</w:t>
            </w:r>
          </w:p>
        </w:tc>
        <w:tc>
          <w:tcPr>
            <w:tcW w:type="dxa" w:w="6360"/>
            <w:shd w:fill="D9EAF7"/>
            <w:vAlign w:val="center"/>
          </w:tcPr>
          <w:p>
            <w:r>
              <w:rPr>
                <w:b/>
                <w:color w:val="17365D"/>
                <w:sz w:val="18"/>
              </w:rPr>
              <w:t>Target</w:t>
            </w:r>
          </w:p>
        </w:tc>
      </w:tr>
      <w:tr>
        <w:tc>
          <w:tcPr>
            <w:tcW w:type="dxa" w:w="3000"/>
            <w:vAlign w:val="top"/>
          </w:tcPr>
          <w:p>
            <w:pPr>
              <w:spacing w:after="60"/>
            </w:pPr>
            <w:r>
              <w:rPr>
                <w:sz w:val="17"/>
              </w:rPr>
              <w:t>Retrieval + profile</w:t>
            </w:r>
          </w:p>
        </w:tc>
        <w:tc>
          <w:tcPr>
            <w:tcW w:type="dxa" w:w="6360"/>
            <w:vAlign w:val="top"/>
          </w:tcPr>
          <w:p>
            <w:pPr>
              <w:spacing w:after="60"/>
            </w:pPr>
            <w:r>
              <w:rPr>
                <w:sz w:val="17"/>
              </w:rPr>
              <w:t>&lt; 500 ms warm</w:t>
            </w:r>
          </w:p>
        </w:tc>
      </w:tr>
      <w:tr>
        <w:tc>
          <w:tcPr>
            <w:tcW w:type="dxa" w:w="3000"/>
            <w:vAlign w:val="top"/>
          </w:tcPr>
          <w:p>
            <w:pPr>
              <w:spacing w:after="60"/>
            </w:pPr>
            <w:r>
              <w:rPr>
                <w:sz w:val="17"/>
              </w:rPr>
              <w:t>Planning</w:t>
            </w:r>
          </w:p>
        </w:tc>
        <w:tc>
          <w:tcPr>
            <w:tcW w:type="dxa" w:w="6360"/>
            <w:vAlign w:val="top"/>
          </w:tcPr>
          <w:p>
            <w:pPr>
              <w:spacing w:after="60"/>
            </w:pPr>
            <w:r>
              <w:rPr>
                <w:sz w:val="17"/>
              </w:rPr>
              <w:t>&lt; 5 s</w:t>
            </w:r>
          </w:p>
        </w:tc>
      </w:tr>
      <w:tr>
        <w:tc>
          <w:tcPr>
            <w:tcW w:type="dxa" w:w="3000"/>
            <w:vAlign w:val="top"/>
          </w:tcPr>
          <w:p>
            <w:pPr>
              <w:spacing w:after="60"/>
            </w:pPr>
            <w:r>
              <w:rPr>
                <w:sz w:val="17"/>
              </w:rPr>
              <w:t>Story draft</w:t>
            </w:r>
          </w:p>
        </w:tc>
        <w:tc>
          <w:tcPr>
            <w:tcW w:type="dxa" w:w="6360"/>
            <w:vAlign w:val="top"/>
          </w:tcPr>
          <w:p>
            <w:pPr>
              <w:spacing w:after="60"/>
            </w:pPr>
            <w:r>
              <w:rPr>
                <w:sz w:val="17"/>
              </w:rPr>
              <w:t>&lt; 10 s for 5-minute lesson</w:t>
            </w:r>
          </w:p>
        </w:tc>
      </w:tr>
      <w:tr>
        <w:tc>
          <w:tcPr>
            <w:tcW w:type="dxa" w:w="3000"/>
            <w:vAlign w:val="top"/>
          </w:tcPr>
          <w:p>
            <w:pPr>
              <w:spacing w:after="60"/>
            </w:pPr>
            <w:r>
              <w:rPr>
                <w:sz w:val="17"/>
              </w:rPr>
              <w:t>Verification + optional repair</w:t>
            </w:r>
          </w:p>
        </w:tc>
        <w:tc>
          <w:tcPr>
            <w:tcW w:type="dxa" w:w="6360"/>
            <w:vAlign w:val="top"/>
          </w:tcPr>
          <w:p>
            <w:pPr>
              <w:spacing w:after="60"/>
            </w:pPr>
            <w:r>
              <w:rPr>
                <w:sz w:val="17"/>
              </w:rPr>
              <w:t>&lt; 8 s</w:t>
            </w:r>
          </w:p>
        </w:tc>
      </w:tr>
      <w:tr>
        <w:tc>
          <w:tcPr>
            <w:tcW w:type="dxa" w:w="3000"/>
            <w:vAlign w:val="top"/>
          </w:tcPr>
          <w:p>
            <w:pPr>
              <w:spacing w:after="60"/>
            </w:pPr>
            <w:r>
              <w:rPr>
                <w:sz w:val="17"/>
              </w:rPr>
              <w:t>Total typical warm request</w:t>
            </w:r>
          </w:p>
        </w:tc>
        <w:tc>
          <w:tcPr>
            <w:tcW w:type="dxa" w:w="6360"/>
            <w:vAlign w:val="top"/>
          </w:tcPr>
          <w:p>
            <w:pPr>
              <w:spacing w:after="60"/>
            </w:pPr>
            <w:r>
              <w:rPr>
                <w:sz w:val="17"/>
              </w:rPr>
              <w:t>&lt; 20 s; validate on hardware</w:t>
            </w:r>
          </w:p>
        </w:tc>
      </w:tr>
      <w:tr>
        <w:tc>
          <w:tcPr>
            <w:tcW w:type="dxa" w:w="3000"/>
            <w:vAlign w:val="top"/>
          </w:tcPr>
          <w:p>
            <w:pPr>
              <w:spacing w:after="60"/>
            </w:pPr>
            <w:r>
              <w:rPr>
                <w:sz w:val="17"/>
              </w:rPr>
              <w:t>Peak VRAM</w:t>
            </w:r>
          </w:p>
        </w:tc>
        <w:tc>
          <w:tcPr>
            <w:tcW w:type="dxa" w:w="6360"/>
            <w:vAlign w:val="top"/>
          </w:tcPr>
          <w:p>
            <w:pPr>
              <w:spacing w:after="60"/>
            </w:pPr>
            <w:r>
              <w:rPr>
                <w:sz w:val="17"/>
              </w:rPr>
              <w:t>&lt; 14.5 GB to preserve stability headroom</w:t>
            </w:r>
          </w:p>
        </w:tc>
      </w:tr>
    </w:tbl>
    <w:p>
      <w:pPr>
        <w:spacing w:after="0"/>
      </w:pPr>
    </w:p>
    <w:p>
      <w:pPr>
        <w:pStyle w:val="Heading1"/>
      </w:pPr>
      <w:r>
        <w:t>13. Security, Privacy, and Production Controls</w:t>
      </w:r>
    </w:p>
    <w:p>
      <w:pPr>
        <w:pStyle w:val="ListBullet"/>
        <w:spacing w:after="60"/>
      </w:pPr>
      <w:r>
        <w:t>Bind the model runtime to the RTX PC private-LAN address, not all interfaces when avoidable; firewall the port to the Dell fixed IP only.</w:t>
      </w:r>
    </w:p>
    <w:p>
      <w:pPr>
        <w:pStyle w:val="ListBullet"/>
        <w:spacing w:after="60"/>
      </w:pPr>
      <w:r>
        <w:t>Use an application-level API key between Dell and RTX PC even on the trusted LAN; rotate it if exposed and never embed it in the browser.</w:t>
      </w:r>
    </w:p>
    <w:p>
      <w:pPr>
        <w:pStyle w:val="ListBullet"/>
        <w:spacing w:after="60"/>
      </w:pPr>
      <w:r>
        <w:t>Do not configure router port-forwarding or public tunnels to either the Dell application or model endpoint for the MVP.</w:t>
      </w:r>
    </w:p>
    <w:p>
      <w:pPr>
        <w:pStyle w:val="ListBullet"/>
        <w:spacing w:after="60"/>
      </w:pPr>
      <w:r>
        <w:t>Treat source documents as untrusted prompt data; delimit them and ignore embedded instructions.</w:t>
      </w:r>
    </w:p>
    <w:p>
      <w:pPr>
        <w:pStyle w:val="ListBullet"/>
        <w:spacing w:after="60"/>
      </w:pPr>
      <w:r>
        <w:t>Allow-list file types, size limits, safe PDF parsing, and quarantine malformed uploads on the Dell.</w:t>
      </w:r>
    </w:p>
    <w:p>
      <w:pPr>
        <w:pStyle w:val="ListBullet"/>
        <w:spacing w:after="60"/>
      </w:pPr>
      <w:r>
        <w:t>Use parameterized SQL, output schema validation, request limits, and CSRF protection for state changes.</w:t>
      </w:r>
    </w:p>
    <w:p>
      <w:pPr>
        <w:pStyle w:val="ListBullet"/>
        <w:spacing w:after="60"/>
      </w:pPr>
      <w:r>
        <w:t>Encrypt backups if they leave the Dell; provide export and full-delete for learner data.</w:t>
      </w:r>
    </w:p>
    <w:p>
      <w:pPr>
        <w:pStyle w:val="ListBullet"/>
        <w:spacing w:after="60"/>
      </w:pPr>
      <w:r>
        <w:t>Never log PINs, API keys, raw session cookies, or unnecessary student text on either machine.</w:t>
      </w:r>
    </w:p>
    <w:p>
      <w:pPr>
        <w:pStyle w:val="ListBullet"/>
        <w:spacing w:after="60"/>
      </w:pPr>
      <w:r>
        <w:t>Maintain model, quantizer, source, and package license records.</w:t>
      </w:r>
    </w:p>
    <w:p>
      <w:pPr>
        <w:pStyle w:val="ListBullet"/>
        <w:spacing w:after="60"/>
      </w:pPr>
      <w:r>
        <w:t>Before public use: perform a new threat model; add real identity, abuse prevention, consent/privacy notice, secure updates, and dependency scanning.</w:t>
      </w:r>
    </w:p>
    <w:p>
      <w:pPr>
        <w:pStyle w:val="Heading1"/>
      </w:pPr>
      <w:r>
        <w:t>14. Evaluation and Acceptance</w:t>
      </w:r>
    </w:p>
    <w:p>
      <w:r>
        <w:t>The primary model is chosen by a local bake-off, not reputation. Build 200 reviewed concept cases across subjects and level bands. Hold back at least 25% from prompt tuning. Include adversarial evidence, outdated passages, contradictory sources, tables, formulas, dates, and near-duplicate concepts.</w:t>
      </w:r>
    </w:p>
    <w:tbl>
      <w:tblPr>
        <w:tblStyle w:val="TableGrid"/>
        <w:tblW w:type="dxa" w:w="9360"/>
        <w:jc w:val="left"/>
        <w:tblLayout w:type="fixed"/>
        <w:tblLook w:firstColumn="1" w:firstRow="1" w:lastColumn="0" w:lastRow="0" w:noHBand="0" w:noVBand="1" w:val="04A0"/>
        <w:tblInd w:w="120" w:type="dxa"/>
      </w:tblPr>
      <w:tblGrid>
        <w:gridCol w:w="1600"/>
        <w:gridCol w:w="4800"/>
        <w:gridCol w:w="2960"/>
      </w:tblGrid>
      <w:tr>
        <w:tc>
          <w:tcPr>
            <w:tcW w:type="dxa" w:w="1600"/>
            <w:shd w:fill="D9EAF7"/>
            <w:vAlign w:val="center"/>
          </w:tcPr>
          <w:p>
            <w:r>
              <w:rPr>
                <w:b/>
                <w:color w:val="17365D"/>
                <w:sz w:val="18"/>
              </w:rPr>
              <w:t>Suite</w:t>
            </w:r>
          </w:p>
        </w:tc>
        <w:tc>
          <w:tcPr>
            <w:tcW w:type="dxa" w:w="4800"/>
            <w:shd w:fill="D9EAF7"/>
            <w:vAlign w:val="center"/>
          </w:tcPr>
          <w:p>
            <w:r>
              <w:rPr>
                <w:b/>
                <w:color w:val="17365D"/>
                <w:sz w:val="18"/>
              </w:rPr>
              <w:t>What it tests</w:t>
            </w:r>
          </w:p>
        </w:tc>
        <w:tc>
          <w:tcPr>
            <w:tcW w:type="dxa" w:w="2960"/>
            <w:shd w:fill="D9EAF7"/>
            <w:vAlign w:val="center"/>
          </w:tcPr>
          <w:p>
            <w:r>
              <w:rPr>
                <w:b/>
                <w:color w:val="17365D"/>
                <w:sz w:val="18"/>
              </w:rPr>
              <w:t>Gate</w:t>
            </w:r>
          </w:p>
        </w:tc>
      </w:tr>
      <w:tr>
        <w:tc>
          <w:tcPr>
            <w:tcW w:type="dxa" w:w="1600"/>
            <w:vAlign w:val="top"/>
          </w:tcPr>
          <w:p>
            <w:pPr>
              <w:spacing w:after="60"/>
            </w:pPr>
            <w:r>
              <w:rPr>
                <w:sz w:val="17"/>
              </w:rPr>
              <w:t>Retrieval</w:t>
            </w:r>
          </w:p>
        </w:tc>
        <w:tc>
          <w:tcPr>
            <w:tcW w:type="dxa" w:w="4800"/>
            <w:vAlign w:val="top"/>
          </w:tcPr>
          <w:p>
            <w:pPr>
              <w:spacing w:after="60"/>
            </w:pPr>
            <w:r>
              <w:rPr>
                <w:sz w:val="17"/>
              </w:rPr>
              <w:t>Recall@5, MRR, objective evidence coverage</w:t>
            </w:r>
          </w:p>
        </w:tc>
        <w:tc>
          <w:tcPr>
            <w:tcW w:type="dxa" w:w="2960"/>
            <w:vAlign w:val="top"/>
          </w:tcPr>
          <w:p>
            <w:pPr>
              <w:spacing w:after="60"/>
            </w:pPr>
            <w:r>
              <w:rPr>
                <w:sz w:val="17"/>
              </w:rPr>
              <w:t>≥95% of objectives have relevant evidence in top 5.</w:t>
            </w:r>
          </w:p>
        </w:tc>
      </w:tr>
      <w:tr>
        <w:tc>
          <w:tcPr>
            <w:tcW w:type="dxa" w:w="1600"/>
            <w:vAlign w:val="top"/>
          </w:tcPr>
          <w:p>
            <w:pPr>
              <w:spacing w:after="60"/>
            </w:pPr>
            <w:r>
              <w:rPr>
                <w:sz w:val="17"/>
              </w:rPr>
              <w:t>Grounding</w:t>
            </w:r>
          </w:p>
        </w:tc>
        <w:tc>
          <w:tcPr>
            <w:tcW w:type="dxa" w:w="4800"/>
            <w:vAlign w:val="top"/>
          </w:tcPr>
          <w:p>
            <w:pPr>
              <w:spacing w:after="60"/>
            </w:pPr>
            <w:r>
              <w:rPr>
                <w:sz w:val="17"/>
              </w:rPr>
              <w:t>Claim support, contradiction detection, citation correctness</w:t>
            </w:r>
          </w:p>
        </w:tc>
        <w:tc>
          <w:tcPr>
            <w:tcW w:type="dxa" w:w="2960"/>
            <w:vAlign w:val="top"/>
          </w:tcPr>
          <w:p>
            <w:pPr>
              <w:spacing w:after="60"/>
            </w:pPr>
            <w:r>
              <w:rPr>
                <w:sz w:val="17"/>
              </w:rPr>
              <w:t>Zero unsupported critical claims; ≥98% all-claim support.</w:t>
            </w:r>
          </w:p>
        </w:tc>
      </w:tr>
      <w:tr>
        <w:tc>
          <w:tcPr>
            <w:tcW w:type="dxa" w:w="1600"/>
            <w:vAlign w:val="top"/>
          </w:tcPr>
          <w:p>
            <w:pPr>
              <w:spacing w:after="60"/>
            </w:pPr>
            <w:r>
              <w:rPr>
                <w:sz w:val="17"/>
              </w:rPr>
              <w:t>Pedagogy</w:t>
            </w:r>
          </w:p>
        </w:tc>
        <w:tc>
          <w:tcPr>
            <w:tcW w:type="dxa" w:w="4800"/>
            <w:vAlign w:val="top"/>
          </w:tcPr>
          <w:p>
            <w:pPr>
              <w:spacing w:after="60"/>
            </w:pPr>
            <w:r>
              <w:rPr>
                <w:sz w:val="17"/>
              </w:rPr>
              <w:t>Level fit, story-to-concept mapping, clarity, retention hook</w:t>
            </w:r>
          </w:p>
        </w:tc>
        <w:tc>
          <w:tcPr>
            <w:tcW w:type="dxa" w:w="2960"/>
            <w:vAlign w:val="top"/>
          </w:tcPr>
          <w:p>
            <w:pPr>
              <w:spacing w:after="60"/>
            </w:pPr>
            <w:r>
              <w:rPr>
                <w:sz w:val="17"/>
              </w:rPr>
              <w:t>Average ≥3/4; no level-preservation failures.</w:t>
            </w:r>
          </w:p>
        </w:tc>
      </w:tr>
      <w:tr>
        <w:tc>
          <w:tcPr>
            <w:tcW w:type="dxa" w:w="1600"/>
            <w:vAlign w:val="top"/>
          </w:tcPr>
          <w:p>
            <w:pPr>
              <w:spacing w:after="60"/>
            </w:pPr>
            <w:r>
              <w:rPr>
                <w:sz w:val="17"/>
              </w:rPr>
              <w:t>Exam utility</w:t>
            </w:r>
          </w:p>
        </w:tc>
        <w:tc>
          <w:tcPr>
            <w:tcW w:type="dxa" w:w="4800"/>
            <w:vAlign w:val="top"/>
          </w:tcPr>
          <w:p>
            <w:pPr>
              <w:spacing w:after="60"/>
            </w:pPr>
            <w:r>
              <w:rPr>
                <w:sz w:val="17"/>
              </w:rPr>
              <w:t>Learning-objective coverage and question-answer improvement</w:t>
            </w:r>
          </w:p>
        </w:tc>
        <w:tc>
          <w:tcPr>
            <w:tcW w:type="dxa" w:w="2960"/>
            <w:vAlign w:val="top"/>
          </w:tcPr>
          <w:p>
            <w:pPr>
              <w:spacing w:after="60"/>
            </w:pPr>
            <w:r>
              <w:rPr>
                <w:sz w:val="17"/>
              </w:rPr>
              <w:t>≥90% objective coverage; immediate check ≥70%.</w:t>
            </w:r>
          </w:p>
        </w:tc>
      </w:tr>
      <w:tr>
        <w:tc>
          <w:tcPr>
            <w:tcW w:type="dxa" w:w="1600"/>
            <w:vAlign w:val="top"/>
          </w:tcPr>
          <w:p>
            <w:pPr>
              <w:spacing w:after="60"/>
            </w:pPr>
            <w:r>
              <w:rPr>
                <w:sz w:val="17"/>
              </w:rPr>
              <w:t>Performance</w:t>
            </w:r>
          </w:p>
        </w:tc>
        <w:tc>
          <w:tcPr>
            <w:tcW w:type="dxa" w:w="4800"/>
            <w:vAlign w:val="top"/>
          </w:tcPr>
          <w:p>
            <w:pPr>
              <w:spacing w:after="60"/>
            </w:pPr>
            <w:r>
              <w:rPr>
                <w:sz w:val="17"/>
              </w:rPr>
              <w:t>Cold/warm latency, tokens/s, VRAM, startup</w:t>
            </w:r>
          </w:p>
        </w:tc>
        <w:tc>
          <w:tcPr>
            <w:tcW w:type="dxa" w:w="2960"/>
            <w:vAlign w:val="top"/>
          </w:tcPr>
          <w:p>
            <w:pPr>
              <w:spacing w:after="60"/>
            </w:pPr>
            <w:r>
              <w:rPr>
                <w:sz w:val="17"/>
              </w:rPr>
              <w:t>Meets Section 12 on target machine.</w:t>
            </w:r>
          </w:p>
        </w:tc>
      </w:tr>
      <w:tr>
        <w:tc>
          <w:tcPr>
            <w:tcW w:type="dxa" w:w="1600"/>
            <w:vAlign w:val="top"/>
          </w:tcPr>
          <w:p>
            <w:pPr>
              <w:spacing w:after="60"/>
            </w:pPr>
            <w:r>
              <w:rPr>
                <w:sz w:val="17"/>
              </w:rPr>
              <w:t>Security</w:t>
            </w:r>
          </w:p>
        </w:tc>
        <w:tc>
          <w:tcPr>
            <w:tcW w:type="dxa" w:w="4800"/>
            <w:vAlign w:val="top"/>
          </w:tcPr>
          <w:p>
            <w:pPr>
              <w:spacing w:after="60"/>
            </w:pPr>
            <w:r>
              <w:rPr>
                <w:sz w:val="17"/>
              </w:rPr>
              <w:t>Prompt injection in sources, malformed files, auth/session, LAN exposure</w:t>
            </w:r>
          </w:p>
        </w:tc>
        <w:tc>
          <w:tcPr>
            <w:tcW w:type="dxa" w:w="2960"/>
            <w:vAlign w:val="top"/>
          </w:tcPr>
          <w:p>
            <w:pPr>
              <w:spacing w:after="60"/>
            </w:pPr>
            <w:r>
              <w:rPr>
                <w:sz w:val="17"/>
              </w:rPr>
              <w:t>All high-severity tests pass.</w:t>
            </w:r>
          </w:p>
        </w:tc>
      </w:tr>
    </w:tbl>
    <w:p>
      <w:pPr>
        <w:spacing w:after="0"/>
      </w:pPr>
    </w:p>
    <w:p>
      <w:pPr>
        <w:pStyle w:val="Heading2"/>
      </w:pPr>
      <w:r>
        <w:t>14.1 Model bake-off procedure</w:t>
      </w:r>
    </w:p>
    <w:p>
      <w:pPr>
        <w:pStyle w:val="ListNumber"/>
        <w:spacing w:after="60"/>
      </w:pPr>
      <w:r>
        <w:t>Test Qwen3.5 9B Q5, Gemma 3 12B Q4, Qwen3 14B Q4, and Phi-4 14B Q4 with identical evidence and prompts.</w:t>
      </w:r>
    </w:p>
    <w:p>
      <w:pPr>
        <w:pStyle w:val="ListNumber"/>
        <w:spacing w:after="60"/>
      </w:pPr>
      <w:r>
        <w:t>Score blind samples for accuracy, objective coverage, adaptation, storytelling, concision, Hindi/Hinglish if required, and latency.</w:t>
      </w:r>
    </w:p>
    <w:p>
      <w:pPr>
        <w:pStyle w:val="ListNumber"/>
        <w:spacing w:after="60"/>
      </w:pPr>
      <w:r>
        <w:t>Reject any model failing the critical-fact gate regardless of average story score.</w:t>
      </w:r>
    </w:p>
    <w:p>
      <w:pPr>
        <w:pStyle w:val="ListNumber"/>
        <w:spacing w:after="60"/>
      </w:pPr>
      <w:r>
        <w:t>Select primary and backup; pin exact model files, checksums, runtime build, context, GPU layers, and sampling settings.</w:t>
      </w:r>
    </w:p>
    <w:p>
      <w:pPr>
        <w:pStyle w:val="Heading1"/>
      </w:pPr>
      <w:r>
        <w:t>15. MVP Roadmap and Week-wise Timeline</w:t>
      </w:r>
    </w:p>
    <w:tbl>
      <w:tblPr>
        <w:tblStyle w:val="TableGrid"/>
        <w:tblW w:type="dxa" w:w="9360"/>
        <w:jc w:val="left"/>
        <w:tblLayout w:type="fixed"/>
        <w:tblLook w:firstColumn="1" w:firstRow="1" w:lastColumn="0" w:lastRow="0" w:noHBand="0" w:noVBand="1" w:val="04A0"/>
        <w:tblInd w:w="120" w:type="dxa"/>
      </w:tblPr>
      <w:tblGrid>
        <w:gridCol w:w="1200"/>
        <w:gridCol w:w="2800"/>
        <w:gridCol w:w="5360"/>
      </w:tblGrid>
      <w:tr>
        <w:tc>
          <w:tcPr>
            <w:tcW w:type="dxa" w:w="1200"/>
            <w:shd w:fill="D9EAF7"/>
            <w:vAlign w:val="center"/>
          </w:tcPr>
          <w:p>
            <w:r>
              <w:rPr>
                <w:b/>
                <w:color w:val="17365D"/>
                <w:sz w:val="18"/>
              </w:rPr>
              <w:t>Week</w:t>
            </w:r>
          </w:p>
        </w:tc>
        <w:tc>
          <w:tcPr>
            <w:tcW w:type="dxa" w:w="2800"/>
            <w:shd w:fill="D9EAF7"/>
            <w:vAlign w:val="center"/>
          </w:tcPr>
          <w:p>
            <w:r>
              <w:rPr>
                <w:b/>
                <w:color w:val="17365D"/>
                <w:sz w:val="18"/>
              </w:rPr>
              <w:t>Outcome</w:t>
            </w:r>
          </w:p>
        </w:tc>
        <w:tc>
          <w:tcPr>
            <w:tcW w:type="dxa" w:w="5360"/>
            <w:shd w:fill="D9EAF7"/>
            <w:vAlign w:val="center"/>
          </w:tcPr>
          <w:p>
            <w:r>
              <w:rPr>
                <w:b/>
                <w:color w:val="17365D"/>
                <w:sz w:val="18"/>
              </w:rPr>
              <w:t>Exit criteria</w:t>
            </w:r>
          </w:p>
        </w:tc>
      </w:tr>
      <w:tr>
        <w:tc>
          <w:tcPr>
            <w:tcW w:type="dxa" w:w="1200"/>
            <w:vAlign w:val="top"/>
          </w:tcPr>
          <w:p>
            <w:pPr>
              <w:spacing w:after="60"/>
            </w:pPr>
            <w:r>
              <w:rPr>
                <w:sz w:val="17"/>
              </w:rPr>
              <w:t>0 (2–3 days)</w:t>
            </w:r>
          </w:p>
        </w:tc>
        <w:tc>
          <w:tcPr>
            <w:tcW w:type="dxa" w:w="2800"/>
            <w:vAlign w:val="top"/>
          </w:tcPr>
          <w:p>
            <w:pPr>
              <w:spacing w:after="60"/>
            </w:pPr>
            <w:r>
              <w:rPr>
                <w:sz w:val="17"/>
              </w:rPr>
              <w:t>Decisions and content pilot</w:t>
            </w:r>
          </w:p>
        </w:tc>
        <w:tc>
          <w:tcPr>
            <w:tcW w:type="dxa" w:w="5360"/>
            <w:vAlign w:val="top"/>
          </w:tcPr>
          <w:p>
            <w:pPr>
              <w:spacing w:after="60"/>
            </w:pPr>
            <w:r>
              <w:rPr>
                <w:sz w:val="17"/>
              </w:rPr>
              <w:t>Target exam, language, 50 concepts, source rights, level rubric approved.</w:t>
            </w:r>
          </w:p>
        </w:tc>
      </w:tr>
      <w:tr>
        <w:tc>
          <w:tcPr>
            <w:tcW w:type="dxa" w:w="1200"/>
            <w:vAlign w:val="top"/>
          </w:tcPr>
          <w:p>
            <w:pPr>
              <w:spacing w:after="60"/>
            </w:pPr>
            <w:r>
              <w:rPr>
                <w:sz w:val="17"/>
              </w:rPr>
              <w:t>1</w:t>
            </w:r>
          </w:p>
        </w:tc>
        <w:tc>
          <w:tcPr>
            <w:tcW w:type="dxa" w:w="2800"/>
            <w:vAlign w:val="top"/>
          </w:tcPr>
          <w:p>
            <w:pPr>
              <w:spacing w:after="60"/>
            </w:pPr>
            <w:r>
              <w:rPr>
                <w:sz w:val="17"/>
              </w:rPr>
              <w:t>Skeleton + local runtime</w:t>
            </w:r>
          </w:p>
        </w:tc>
        <w:tc>
          <w:tcPr>
            <w:tcW w:type="dxa" w:w="5360"/>
            <w:vAlign w:val="top"/>
          </w:tcPr>
          <w:p>
            <w:pPr>
              <w:spacing w:after="60"/>
            </w:pPr>
            <w:r>
              <w:rPr>
                <w:sz w:val="17"/>
              </w:rPr>
              <w:t>PWA calls FastAPI; model streams; SQLite schema; health checks.</w:t>
            </w:r>
          </w:p>
        </w:tc>
      </w:tr>
      <w:tr>
        <w:tc>
          <w:tcPr>
            <w:tcW w:type="dxa" w:w="1200"/>
            <w:vAlign w:val="top"/>
          </w:tcPr>
          <w:p>
            <w:pPr>
              <w:spacing w:after="60"/>
            </w:pPr>
            <w:r>
              <w:rPr>
                <w:sz w:val="17"/>
              </w:rPr>
              <w:t>2</w:t>
            </w:r>
          </w:p>
        </w:tc>
        <w:tc>
          <w:tcPr>
            <w:tcW w:type="dxa" w:w="2800"/>
            <w:vAlign w:val="top"/>
          </w:tcPr>
          <w:p>
            <w:pPr>
              <w:spacing w:after="60"/>
            </w:pPr>
            <w:r>
              <w:rPr>
                <w:sz w:val="17"/>
              </w:rPr>
              <w:t>Content pipeline + retrieval</w:t>
            </w:r>
          </w:p>
        </w:tc>
        <w:tc>
          <w:tcPr>
            <w:tcW w:type="dxa" w:w="5360"/>
            <w:vAlign w:val="top"/>
          </w:tcPr>
          <w:p>
            <w:pPr>
              <w:spacing w:after="60"/>
            </w:pPr>
            <w:r>
              <w:rPr>
                <w:sz w:val="17"/>
              </w:rPr>
              <w:t>Two sources ingested with provenance; retrieval suite meets initial threshold.</w:t>
            </w:r>
          </w:p>
        </w:tc>
      </w:tr>
      <w:tr>
        <w:tc>
          <w:tcPr>
            <w:tcW w:type="dxa" w:w="1200"/>
            <w:vAlign w:val="top"/>
          </w:tcPr>
          <w:p>
            <w:pPr>
              <w:spacing w:after="60"/>
            </w:pPr>
            <w:r>
              <w:rPr>
                <w:sz w:val="17"/>
              </w:rPr>
              <w:t>3</w:t>
            </w:r>
          </w:p>
        </w:tc>
        <w:tc>
          <w:tcPr>
            <w:tcW w:type="dxa" w:w="2800"/>
            <w:vAlign w:val="top"/>
          </w:tcPr>
          <w:p>
            <w:pPr>
              <w:spacing w:after="60"/>
            </w:pPr>
            <w:r>
              <w:rPr>
                <w:sz w:val="17"/>
              </w:rPr>
              <w:t>Planner/writer/verifier</w:t>
            </w:r>
          </w:p>
        </w:tc>
        <w:tc>
          <w:tcPr>
            <w:tcW w:type="dxa" w:w="5360"/>
            <w:vAlign w:val="top"/>
          </w:tcPr>
          <w:p>
            <w:pPr>
              <w:spacing w:after="60"/>
            </w:pPr>
            <w:r>
              <w:rPr>
                <w:sz w:val="17"/>
              </w:rPr>
              <w:t>Structured pipeline, evidence sufficiency, repair and refusal paths work.</w:t>
            </w:r>
          </w:p>
        </w:tc>
      </w:tr>
      <w:tr>
        <w:tc>
          <w:tcPr>
            <w:tcW w:type="dxa" w:w="1200"/>
            <w:vAlign w:val="top"/>
          </w:tcPr>
          <w:p>
            <w:pPr>
              <w:spacing w:after="60"/>
            </w:pPr>
            <w:r>
              <w:rPr>
                <w:sz w:val="17"/>
              </w:rPr>
              <w:t>4</w:t>
            </w:r>
          </w:p>
        </w:tc>
        <w:tc>
          <w:tcPr>
            <w:tcW w:type="dxa" w:w="2800"/>
            <w:vAlign w:val="top"/>
          </w:tcPr>
          <w:p>
            <w:pPr>
              <w:spacing w:after="60"/>
            </w:pPr>
            <w:r>
              <w:rPr>
                <w:sz w:val="17"/>
              </w:rPr>
              <w:t>Learning loop</w:t>
            </w:r>
          </w:p>
        </w:tc>
        <w:tc>
          <w:tcPr>
            <w:tcW w:type="dxa" w:w="5360"/>
            <w:vAlign w:val="top"/>
          </w:tcPr>
          <w:p>
            <w:pPr>
              <w:spacing w:after="60"/>
            </w:pPr>
            <w:r>
              <w:rPr>
                <w:sz w:val="17"/>
              </w:rPr>
              <w:t>Profile, level control, lesson history, 3-question check, mastery update.</w:t>
            </w:r>
          </w:p>
        </w:tc>
      </w:tr>
      <w:tr>
        <w:tc>
          <w:tcPr>
            <w:tcW w:type="dxa" w:w="1200"/>
            <w:vAlign w:val="top"/>
          </w:tcPr>
          <w:p>
            <w:pPr>
              <w:spacing w:after="60"/>
            </w:pPr>
            <w:r>
              <w:rPr>
                <w:sz w:val="17"/>
              </w:rPr>
              <w:t>5</w:t>
            </w:r>
          </w:p>
        </w:tc>
        <w:tc>
          <w:tcPr>
            <w:tcW w:type="dxa" w:w="2800"/>
            <w:vAlign w:val="top"/>
          </w:tcPr>
          <w:p>
            <w:pPr>
              <w:spacing w:after="60"/>
            </w:pPr>
            <w:r>
              <w:rPr>
                <w:sz w:val="17"/>
              </w:rPr>
              <w:t>Evaluation + performance</w:t>
            </w:r>
          </w:p>
        </w:tc>
        <w:tc>
          <w:tcPr>
            <w:tcW w:type="dxa" w:w="5360"/>
            <w:vAlign w:val="top"/>
          </w:tcPr>
          <w:p>
            <w:pPr>
              <w:spacing w:after="60"/>
            </w:pPr>
            <w:r>
              <w:rPr>
                <w:sz w:val="17"/>
              </w:rPr>
              <w:t>Model bake-off, prompt versions, caching, warm startup, latency/VRAM report.</w:t>
            </w:r>
          </w:p>
        </w:tc>
      </w:tr>
      <w:tr>
        <w:tc>
          <w:tcPr>
            <w:tcW w:type="dxa" w:w="1200"/>
            <w:vAlign w:val="top"/>
          </w:tcPr>
          <w:p>
            <w:pPr>
              <w:spacing w:after="60"/>
            </w:pPr>
            <w:r>
              <w:rPr>
                <w:sz w:val="17"/>
              </w:rPr>
              <w:t>6</w:t>
            </w:r>
          </w:p>
        </w:tc>
        <w:tc>
          <w:tcPr>
            <w:tcW w:type="dxa" w:w="2800"/>
            <w:vAlign w:val="top"/>
          </w:tcPr>
          <w:p>
            <w:pPr>
              <w:spacing w:after="60"/>
            </w:pPr>
            <w:r>
              <w:rPr>
                <w:sz w:val="17"/>
              </w:rPr>
              <w:t>Security + UX hardening</w:t>
            </w:r>
          </w:p>
        </w:tc>
        <w:tc>
          <w:tcPr>
            <w:tcW w:type="dxa" w:w="5360"/>
            <w:vAlign w:val="top"/>
          </w:tcPr>
          <w:p>
            <w:pPr>
              <w:spacing w:after="60"/>
            </w:pPr>
            <w:r>
              <w:rPr>
                <w:sz w:val="17"/>
              </w:rPr>
              <w:t>Injection/malformed-file tests, backups, local installer/runbook, accessibility pass.</w:t>
            </w:r>
          </w:p>
        </w:tc>
      </w:tr>
      <w:tr>
        <w:tc>
          <w:tcPr>
            <w:tcW w:type="dxa" w:w="1200"/>
            <w:vAlign w:val="top"/>
          </w:tcPr>
          <w:p>
            <w:pPr>
              <w:spacing w:after="60"/>
            </w:pPr>
            <w:r>
              <w:rPr>
                <w:sz w:val="17"/>
              </w:rPr>
              <w:t>7 (buffer)</w:t>
            </w:r>
          </w:p>
        </w:tc>
        <w:tc>
          <w:tcPr>
            <w:tcW w:type="dxa" w:w="2800"/>
            <w:vAlign w:val="top"/>
          </w:tcPr>
          <w:p>
            <w:pPr>
              <w:spacing w:after="60"/>
            </w:pPr>
            <w:r>
              <w:rPr>
                <w:sz w:val="17"/>
              </w:rPr>
              <w:t>Acceptance pilot</w:t>
            </w:r>
          </w:p>
        </w:tc>
        <w:tc>
          <w:tcPr>
            <w:tcW w:type="dxa" w:w="5360"/>
            <w:vAlign w:val="top"/>
          </w:tcPr>
          <w:p>
            <w:pPr>
              <w:spacing w:after="60"/>
            </w:pPr>
            <w:r>
              <w:rPr>
                <w:sz w:val="17"/>
              </w:rPr>
              <w:t>50–100 lessons reviewed; critical defects closed; go/no-go decision.</w:t>
            </w:r>
          </w:p>
        </w:tc>
      </w:tr>
    </w:tbl>
    <w:p>
      <w:pPr>
        <w:spacing w:after="0"/>
      </w:pPr>
    </w:p>
    <w:p>
      <w:pPr>
        <w:pStyle w:val="Heading2"/>
      </w:pPr>
      <w:r>
        <w:t>15.1 Phase gates</w:t>
      </w:r>
    </w:p>
    <w:p>
      <w:pPr>
        <w:pStyle w:val="ListBullet"/>
        <w:spacing w:after="60"/>
      </w:pPr>
      <w:r>
        <w:t>Gate A — Content: sources and licenses recorded; retrieval objectives covered.</w:t>
      </w:r>
    </w:p>
    <w:p>
      <w:pPr>
        <w:pStyle w:val="ListBullet"/>
        <w:spacing w:after="60"/>
      </w:pPr>
      <w:r>
        <w:t>Gate B — Truth: critical-claim verifier and refusal behavior pass.</w:t>
      </w:r>
    </w:p>
    <w:p>
      <w:pPr>
        <w:pStyle w:val="ListBullet"/>
        <w:spacing w:after="60"/>
      </w:pPr>
      <w:r>
        <w:t>Gate C — Learning: adaptation is real, objectives preserved, student loop usable.</w:t>
      </w:r>
    </w:p>
    <w:p>
      <w:pPr>
        <w:pStyle w:val="ListBullet"/>
        <w:spacing w:after="60"/>
      </w:pPr>
      <w:r>
        <w:t>Gate D — Local production: startup, backup, privacy, performance, and security checks pass.</w:t>
      </w:r>
    </w:p>
    <w:p>
      <w:pPr>
        <w:pStyle w:val="ListBullet"/>
        <w:spacing w:after="60"/>
      </w:pPr>
      <w:r>
        <w:t>Only after Gate D: expose over home Wi-Fi. Public deployment is a separate architecture and security review.</w:t>
      </w:r>
    </w:p>
    <w:p>
      <w:pPr>
        <w:pStyle w:val="Heading1"/>
      </w:pPr>
      <w:r>
        <w:t>16. Risks and Mitigations</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c>
          <w:tcPr>
            <w:tcW w:type="dxa" w:w="2200"/>
            <w:shd w:fill="D9EAF7"/>
            <w:vAlign w:val="center"/>
          </w:tcPr>
          <w:p>
            <w:r>
              <w:rPr>
                <w:b/>
                <w:color w:val="17365D"/>
                <w:sz w:val="18"/>
              </w:rPr>
              <w:t>Risk</w:t>
            </w:r>
          </w:p>
        </w:tc>
        <w:tc>
          <w:tcPr>
            <w:tcW w:type="dxa" w:w="1900"/>
            <w:shd w:fill="D9EAF7"/>
            <w:vAlign w:val="center"/>
          </w:tcPr>
          <w:p>
            <w:r>
              <w:rPr>
                <w:b/>
                <w:color w:val="17365D"/>
                <w:sz w:val="18"/>
              </w:rPr>
              <w:t>Impact</w:t>
            </w:r>
          </w:p>
        </w:tc>
        <w:tc>
          <w:tcPr>
            <w:tcW w:type="dxa" w:w="5260"/>
            <w:shd w:fill="D9EAF7"/>
            <w:vAlign w:val="center"/>
          </w:tcPr>
          <w:p>
            <w:r>
              <w:rPr>
                <w:b/>
                <w:color w:val="17365D"/>
                <w:sz w:val="18"/>
              </w:rPr>
              <w:t>Mitigation</w:t>
            </w:r>
          </w:p>
        </w:tc>
      </w:tr>
      <w:tr>
        <w:tc>
          <w:tcPr>
            <w:tcW w:type="dxa" w:w="2200"/>
            <w:vAlign w:val="top"/>
          </w:tcPr>
          <w:p>
            <w:pPr>
              <w:spacing w:after="60"/>
            </w:pPr>
            <w:r>
              <w:rPr>
                <w:sz w:val="17"/>
              </w:rPr>
              <w:t>Hallucinated facts in memorable story</w:t>
            </w:r>
          </w:p>
        </w:tc>
        <w:tc>
          <w:tcPr>
            <w:tcW w:type="dxa" w:w="1900"/>
            <w:vAlign w:val="top"/>
          </w:tcPr>
          <w:p>
            <w:pPr>
              <w:spacing w:after="60"/>
            </w:pPr>
            <w:r>
              <w:rPr>
                <w:sz w:val="17"/>
              </w:rPr>
              <w:t>High: false memory may be stronger than ordinary error.</w:t>
            </w:r>
          </w:p>
        </w:tc>
        <w:tc>
          <w:tcPr>
            <w:tcW w:type="dxa" w:w="5260"/>
            <w:vAlign w:val="top"/>
          </w:tcPr>
          <w:p>
            <w:pPr>
              <w:spacing w:after="60"/>
            </w:pPr>
            <w:r>
              <w:rPr>
                <w:sz w:val="17"/>
              </w:rPr>
              <w:t>Claim-level verification, source display, block on unsupported critical claims.</w:t>
            </w:r>
          </w:p>
        </w:tc>
      </w:tr>
      <w:tr>
        <w:tc>
          <w:tcPr>
            <w:tcW w:type="dxa" w:w="2200"/>
            <w:vAlign w:val="top"/>
          </w:tcPr>
          <w:p>
            <w:pPr>
              <w:spacing w:after="60"/>
            </w:pPr>
            <w:r>
              <w:rPr>
                <w:sz w:val="17"/>
              </w:rPr>
              <w:t>Analogy becomes misconception</w:t>
            </w:r>
          </w:p>
        </w:tc>
        <w:tc>
          <w:tcPr>
            <w:tcW w:type="dxa" w:w="1900"/>
            <w:vAlign w:val="top"/>
          </w:tcPr>
          <w:p>
            <w:pPr>
              <w:spacing w:after="60"/>
            </w:pPr>
            <w:r>
              <w:rPr>
                <w:sz w:val="17"/>
              </w:rPr>
              <w:t>High</w:t>
            </w:r>
          </w:p>
        </w:tc>
        <w:tc>
          <w:tcPr>
            <w:tcW w:type="dxa" w:w="5260"/>
            <w:vAlign w:val="top"/>
          </w:tcPr>
          <w:p>
            <w:pPr>
              <w:spacing w:after="60"/>
            </w:pPr>
            <w:r>
              <w:rPr>
                <w:sz w:val="17"/>
              </w:rPr>
              <w:t>Store analogy limits; verifier checks mapping and exceptions; exam-truth block states literal facts.</w:t>
            </w:r>
          </w:p>
        </w:tc>
      </w:tr>
      <w:tr>
        <w:tc>
          <w:tcPr>
            <w:tcW w:type="dxa" w:w="2200"/>
            <w:vAlign w:val="top"/>
          </w:tcPr>
          <w:p>
            <w:pPr>
              <w:spacing w:after="60"/>
            </w:pPr>
            <w:r>
              <w:rPr>
                <w:sz w:val="17"/>
              </w:rPr>
              <w:t>Weak/illegal corpus</w:t>
            </w:r>
          </w:p>
        </w:tc>
        <w:tc>
          <w:tcPr>
            <w:tcW w:type="dxa" w:w="1900"/>
            <w:vAlign w:val="top"/>
          </w:tcPr>
          <w:p>
            <w:pPr>
              <w:spacing w:after="60"/>
            </w:pPr>
            <w:r>
              <w:rPr>
                <w:sz w:val="17"/>
              </w:rPr>
              <w:t>High</w:t>
            </w:r>
          </w:p>
        </w:tc>
        <w:tc>
          <w:tcPr>
            <w:tcW w:type="dxa" w:w="5260"/>
            <w:vAlign w:val="top"/>
          </w:tcPr>
          <w:p>
            <w:pPr>
              <w:spacing w:after="60"/>
            </w:pPr>
            <w:r>
              <w:rPr>
                <w:sz w:val="17"/>
              </w:rPr>
              <w:t>Source register, license gate, authority tiers, no assumption that online PDF is reusable.</w:t>
            </w:r>
          </w:p>
        </w:tc>
      </w:tr>
      <w:tr>
        <w:tc>
          <w:tcPr>
            <w:tcW w:type="dxa" w:w="2200"/>
            <w:vAlign w:val="top"/>
          </w:tcPr>
          <w:p>
            <w:pPr>
              <w:spacing w:after="60"/>
            </w:pPr>
            <w:r>
              <w:rPr>
                <w:sz w:val="17"/>
              </w:rPr>
              <w:t>Understanding level stereotypes learner</w:t>
            </w:r>
          </w:p>
        </w:tc>
        <w:tc>
          <w:tcPr>
            <w:tcW w:type="dxa" w:w="1900"/>
            <w:vAlign w:val="top"/>
          </w:tcPr>
          <w:p>
            <w:pPr>
              <w:spacing w:after="60"/>
            </w:pPr>
            <w:r>
              <w:rPr>
                <w:sz w:val="17"/>
              </w:rPr>
              <w:t>Medium</w:t>
            </w:r>
          </w:p>
        </w:tc>
        <w:tc>
          <w:tcPr>
            <w:tcW w:type="dxa" w:w="5260"/>
            <w:vAlign w:val="top"/>
          </w:tcPr>
          <w:p>
            <w:pPr>
              <w:spacing w:after="60"/>
            </w:pPr>
            <w:r>
              <w:rPr>
                <w:sz w:val="17"/>
              </w:rPr>
              <w:t>Treat as presentation control; let learner adjust per subject; avoid infantilizing tone.</w:t>
            </w:r>
          </w:p>
        </w:tc>
      </w:tr>
      <w:tr>
        <w:tc>
          <w:tcPr>
            <w:tcW w:type="dxa" w:w="2200"/>
            <w:vAlign w:val="top"/>
          </w:tcPr>
          <w:p>
            <w:pPr>
              <w:spacing w:after="60"/>
            </w:pPr>
            <w:r>
              <w:rPr>
                <w:sz w:val="17"/>
              </w:rPr>
              <w:t>Current affairs become stale</w:t>
            </w:r>
          </w:p>
        </w:tc>
        <w:tc>
          <w:tcPr>
            <w:tcW w:type="dxa" w:w="1900"/>
            <w:vAlign w:val="top"/>
          </w:tcPr>
          <w:p>
            <w:pPr>
              <w:spacing w:after="60"/>
            </w:pPr>
            <w:r>
              <w:rPr>
                <w:sz w:val="17"/>
              </w:rPr>
              <w:t>High</w:t>
            </w:r>
          </w:p>
        </w:tc>
        <w:tc>
          <w:tcPr>
            <w:tcW w:type="dxa" w:w="5260"/>
            <w:vAlign w:val="top"/>
          </w:tcPr>
          <w:p>
            <w:pPr>
              <w:spacing w:after="60"/>
            </w:pPr>
            <w:r>
              <w:rPr>
                <w:sz w:val="17"/>
              </w:rPr>
              <w:t>Dated packs, valid-through date, expiry warnings, no offline freshness claim.</w:t>
            </w:r>
          </w:p>
        </w:tc>
      </w:tr>
      <w:tr>
        <w:tc>
          <w:tcPr>
            <w:tcW w:type="dxa" w:w="2200"/>
            <w:vAlign w:val="top"/>
          </w:tcPr>
          <w:p>
            <w:pPr>
              <w:spacing w:after="60"/>
            </w:pPr>
            <w:r>
              <w:rPr>
                <w:sz w:val="17"/>
              </w:rPr>
              <w:t>Quantized model quality regression</w:t>
            </w:r>
          </w:p>
        </w:tc>
        <w:tc>
          <w:tcPr>
            <w:tcW w:type="dxa" w:w="1900"/>
            <w:vAlign w:val="top"/>
          </w:tcPr>
          <w:p>
            <w:pPr>
              <w:spacing w:after="60"/>
            </w:pPr>
            <w:r>
              <w:rPr>
                <w:sz w:val="17"/>
              </w:rPr>
              <w:t>Medium</w:t>
            </w:r>
          </w:p>
        </w:tc>
        <w:tc>
          <w:tcPr>
            <w:tcW w:type="dxa" w:w="5260"/>
            <w:vAlign w:val="top"/>
          </w:tcPr>
          <w:p>
            <w:pPr>
              <w:spacing w:after="60"/>
            </w:pPr>
            <w:r>
              <w:rPr>
                <w:sz w:val="17"/>
              </w:rPr>
              <w:t>Golden bake-off per exact quantization and runtime; pin checksums.</w:t>
            </w:r>
          </w:p>
        </w:tc>
      </w:tr>
      <w:tr>
        <w:tc>
          <w:tcPr>
            <w:tcW w:type="dxa" w:w="2200"/>
            <w:vAlign w:val="top"/>
          </w:tcPr>
          <w:p>
            <w:pPr>
              <w:spacing w:after="60"/>
            </w:pPr>
            <w:r>
              <w:rPr>
                <w:sz w:val="17"/>
              </w:rPr>
              <w:t>16 GB VRAM OOM</w:t>
            </w:r>
          </w:p>
        </w:tc>
        <w:tc>
          <w:tcPr>
            <w:tcW w:type="dxa" w:w="1900"/>
            <w:vAlign w:val="top"/>
          </w:tcPr>
          <w:p>
            <w:pPr>
              <w:spacing w:after="60"/>
            </w:pPr>
            <w:r>
              <w:rPr>
                <w:sz w:val="17"/>
              </w:rPr>
              <w:t>Medium</w:t>
            </w:r>
          </w:p>
        </w:tc>
        <w:tc>
          <w:tcPr>
            <w:tcW w:type="dxa" w:w="5260"/>
            <w:vAlign w:val="top"/>
          </w:tcPr>
          <w:p>
            <w:pPr>
              <w:spacing w:after="60"/>
            </w:pPr>
            <w:r>
              <w:rPr>
                <w:sz w:val="17"/>
              </w:rPr>
              <w:t>8K context, 5-bit/4-bit models, bounded evidence, one concurrent generation.</w:t>
            </w:r>
          </w:p>
        </w:tc>
      </w:tr>
      <w:tr>
        <w:tc>
          <w:tcPr>
            <w:tcW w:type="dxa" w:w="2200"/>
            <w:vAlign w:val="top"/>
          </w:tcPr>
          <w:p>
            <w:pPr>
              <w:spacing w:after="60"/>
            </w:pPr>
            <w:r>
              <w:rPr>
                <w:sz w:val="17"/>
              </w:rPr>
              <w:t>LAN/public exposure leaks data or runtime</w:t>
            </w:r>
          </w:p>
        </w:tc>
        <w:tc>
          <w:tcPr>
            <w:tcW w:type="dxa" w:w="1900"/>
            <w:vAlign w:val="top"/>
          </w:tcPr>
          <w:p>
            <w:pPr>
              <w:spacing w:after="60"/>
            </w:pPr>
            <w:r>
              <w:rPr>
                <w:sz w:val="17"/>
              </w:rPr>
              <w:t>High</w:t>
            </w:r>
          </w:p>
        </w:tc>
        <w:tc>
          <w:tcPr>
            <w:tcW w:type="dxa" w:w="5260"/>
            <w:vAlign w:val="top"/>
          </w:tcPr>
          <w:p>
            <w:pPr>
              <w:spacing w:after="60"/>
            </w:pPr>
            <w:r>
              <w:rPr>
                <w:sz w:val="17"/>
              </w:rPr>
              <w:t>Loopback model port, reverse proxy, TLS, auth, firewall; separate public review.</w:t>
            </w:r>
          </w:p>
        </w:tc>
      </w:tr>
      <w:tr>
        <w:tc>
          <w:tcPr>
            <w:tcW w:type="dxa" w:w="2200"/>
            <w:vAlign w:val="top"/>
          </w:tcPr>
          <w:p>
            <w:pPr>
              <w:spacing w:after="60"/>
            </w:pPr>
            <w:r>
              <w:rPr>
                <w:sz w:val="17"/>
              </w:rPr>
              <w:t>Verifier shares writer blind spots</w:t>
            </w:r>
          </w:p>
        </w:tc>
        <w:tc>
          <w:tcPr>
            <w:tcW w:type="dxa" w:w="1900"/>
            <w:vAlign w:val="top"/>
          </w:tcPr>
          <w:p>
            <w:pPr>
              <w:spacing w:after="60"/>
            </w:pPr>
            <w:r>
              <w:rPr>
                <w:sz w:val="17"/>
              </w:rPr>
              <w:t>Medium</w:t>
            </w:r>
          </w:p>
        </w:tc>
        <w:tc>
          <w:tcPr>
            <w:tcW w:type="dxa" w:w="5260"/>
            <w:vAlign w:val="top"/>
          </w:tcPr>
          <w:p>
            <w:pPr>
              <w:spacing w:after="60"/>
            </w:pPr>
            <w:r>
              <w:rPr>
                <w:sz w:val="17"/>
              </w:rPr>
              <w:t>Deterministic date/number checks, second model bake-off, sampled human review.</w:t>
            </w:r>
          </w:p>
        </w:tc>
      </w:tr>
      <w:tr>
        <w:tc>
          <w:tcPr>
            <w:tcW w:type="dxa" w:w="2200"/>
            <w:vAlign w:val="top"/>
          </w:tcPr>
          <w:p>
            <w:pPr>
              <w:spacing w:after="60"/>
            </w:pPr>
            <w:r>
              <w:rPr>
                <w:sz w:val="17"/>
              </w:rPr>
              <w:t>Scope inflation</w:t>
            </w:r>
          </w:p>
        </w:tc>
        <w:tc>
          <w:tcPr>
            <w:tcW w:type="dxa" w:w="1900"/>
            <w:vAlign w:val="top"/>
          </w:tcPr>
          <w:p>
            <w:pPr>
              <w:spacing w:after="60"/>
            </w:pPr>
            <w:r>
              <w:rPr>
                <w:sz w:val="17"/>
              </w:rPr>
              <w:t>Medium</w:t>
            </w:r>
          </w:p>
        </w:tc>
        <w:tc>
          <w:tcPr>
            <w:tcW w:type="dxa" w:w="5260"/>
            <w:vAlign w:val="top"/>
          </w:tcPr>
          <w:p>
            <w:pPr>
              <w:spacing w:after="60"/>
            </w:pPr>
            <w:r>
              <w:rPr>
                <w:sz w:val="17"/>
              </w:rPr>
              <w:t>Enforce MVP exclusions and phase gates; expand content before features.</w:t>
            </w:r>
          </w:p>
        </w:tc>
      </w:tr>
    </w:tbl>
    <w:p>
      <w:pPr>
        <w:spacing w:after="0"/>
      </w:pPr>
    </w:p>
    <w:p>
      <w:pPr>
        <w:pStyle w:val="Heading1"/>
      </w:pPr>
      <w:r>
        <w:t>17. Cost Analysis</w:t>
      </w:r>
    </w:p>
    <w:tbl>
      <w:tblPr>
        <w:tblStyle w:val="TableGrid"/>
        <w:tblW w:type="dxa" w:w="9360"/>
        <w:jc w:val="left"/>
        <w:tblLayout w:type="fixed"/>
        <w:tblLook w:firstColumn="1" w:firstRow="1" w:lastColumn="0" w:lastRow="0" w:noHBand="0" w:noVBand="1" w:val="04A0"/>
        <w:tblInd w:w="120" w:type="dxa"/>
      </w:tblPr>
      <w:tblGrid>
        <w:gridCol w:w="2300"/>
        <w:gridCol w:w="1800"/>
        <w:gridCol w:w="5260"/>
      </w:tblGrid>
      <w:tr>
        <w:tc>
          <w:tcPr>
            <w:tcW w:type="dxa" w:w="2300"/>
            <w:shd w:fill="D9EAF7"/>
            <w:vAlign w:val="center"/>
          </w:tcPr>
          <w:p>
            <w:r>
              <w:rPr>
                <w:b/>
                <w:color w:val="17365D"/>
                <w:sz w:val="18"/>
              </w:rPr>
              <w:t>Item</w:t>
            </w:r>
          </w:p>
        </w:tc>
        <w:tc>
          <w:tcPr>
            <w:tcW w:type="dxa" w:w="1800"/>
            <w:shd w:fill="D9EAF7"/>
            <w:vAlign w:val="center"/>
          </w:tcPr>
          <w:p>
            <w:r>
              <w:rPr>
                <w:b/>
                <w:color w:val="17365D"/>
                <w:sz w:val="18"/>
              </w:rPr>
              <w:t>MVP cash cost</w:t>
            </w:r>
          </w:p>
        </w:tc>
        <w:tc>
          <w:tcPr>
            <w:tcW w:type="dxa" w:w="5260"/>
            <w:shd w:fill="D9EAF7"/>
            <w:vAlign w:val="center"/>
          </w:tcPr>
          <w:p>
            <w:r>
              <w:rPr>
                <w:b/>
                <w:color w:val="17365D"/>
                <w:sz w:val="18"/>
              </w:rPr>
              <w:t>Note</w:t>
            </w:r>
          </w:p>
        </w:tc>
      </w:tr>
      <w:tr>
        <w:tc>
          <w:tcPr>
            <w:tcW w:type="dxa" w:w="2300"/>
            <w:vAlign w:val="top"/>
          </w:tcPr>
          <w:p>
            <w:pPr>
              <w:spacing w:after="60"/>
            </w:pPr>
            <w:r>
              <w:rPr>
                <w:sz w:val="17"/>
              </w:rPr>
              <w:t>Models and runtime</w:t>
            </w:r>
          </w:p>
        </w:tc>
        <w:tc>
          <w:tcPr>
            <w:tcW w:type="dxa" w:w="1800"/>
            <w:vAlign w:val="top"/>
          </w:tcPr>
          <w:p>
            <w:pPr>
              <w:spacing w:after="60"/>
            </w:pPr>
            <w:r>
              <w:rPr>
                <w:sz w:val="17"/>
              </w:rPr>
              <w:t>₹0</w:t>
            </w:r>
          </w:p>
        </w:tc>
        <w:tc>
          <w:tcPr>
            <w:tcW w:type="dxa" w:w="5260"/>
            <w:vAlign w:val="top"/>
          </w:tcPr>
          <w:p>
            <w:pPr>
              <w:spacing w:after="60"/>
            </w:pPr>
            <w:r>
              <w:rPr>
                <w:sz w:val="17"/>
              </w:rPr>
              <w:t>Use licence-approved open-weight models and open-source local runtime.</w:t>
            </w:r>
          </w:p>
        </w:tc>
      </w:tr>
      <w:tr>
        <w:tc>
          <w:tcPr>
            <w:tcW w:type="dxa" w:w="2300"/>
            <w:vAlign w:val="top"/>
          </w:tcPr>
          <w:p>
            <w:pPr>
              <w:spacing w:after="60"/>
            </w:pPr>
            <w:r>
              <w:rPr>
                <w:sz w:val="17"/>
              </w:rPr>
              <w:t>Application stack</w:t>
            </w:r>
          </w:p>
        </w:tc>
        <w:tc>
          <w:tcPr>
            <w:tcW w:type="dxa" w:w="1800"/>
            <w:vAlign w:val="top"/>
          </w:tcPr>
          <w:p>
            <w:pPr>
              <w:spacing w:after="60"/>
            </w:pPr>
            <w:r>
              <w:rPr>
                <w:sz w:val="17"/>
              </w:rPr>
              <w:t>₹0</w:t>
            </w:r>
          </w:p>
        </w:tc>
        <w:tc>
          <w:tcPr>
            <w:tcW w:type="dxa" w:w="5260"/>
            <w:vAlign w:val="top"/>
          </w:tcPr>
          <w:p>
            <w:pPr>
              <w:spacing w:after="60"/>
            </w:pPr>
            <w:r>
              <w:rPr>
                <w:sz w:val="17"/>
              </w:rPr>
              <w:t>React, FastAPI, SQLite, sqlite-vec/FAISS, local monitoring.</w:t>
            </w:r>
          </w:p>
        </w:tc>
      </w:tr>
      <w:tr>
        <w:tc>
          <w:tcPr>
            <w:tcW w:type="dxa" w:w="2300"/>
            <w:vAlign w:val="top"/>
          </w:tcPr>
          <w:p>
            <w:pPr>
              <w:spacing w:after="60"/>
            </w:pPr>
            <w:r>
              <w:rPr>
                <w:sz w:val="17"/>
              </w:rPr>
              <w:t>Hosting</w:t>
            </w:r>
          </w:p>
        </w:tc>
        <w:tc>
          <w:tcPr>
            <w:tcW w:type="dxa" w:w="1800"/>
            <w:vAlign w:val="top"/>
          </w:tcPr>
          <w:p>
            <w:pPr>
              <w:spacing w:after="60"/>
            </w:pPr>
            <w:r>
              <w:rPr>
                <w:sz w:val="17"/>
              </w:rPr>
              <w:t>₹0 for offline MVP</w:t>
            </w:r>
          </w:p>
        </w:tc>
        <w:tc>
          <w:tcPr>
            <w:tcW w:type="dxa" w:w="5260"/>
            <w:vAlign w:val="top"/>
          </w:tcPr>
          <w:p>
            <w:pPr>
              <w:spacing w:after="60"/>
            </w:pPr>
            <w:r>
              <w:rPr>
                <w:sz w:val="17"/>
              </w:rPr>
              <w:t>Existing workstation. Electricity and internet are operational costs, not software fees.</w:t>
            </w:r>
          </w:p>
        </w:tc>
      </w:tr>
      <w:tr>
        <w:tc>
          <w:tcPr>
            <w:tcW w:type="dxa" w:w="2300"/>
            <w:vAlign w:val="top"/>
          </w:tcPr>
          <w:p>
            <w:pPr>
              <w:spacing w:after="60"/>
            </w:pPr>
            <w:r>
              <w:rPr>
                <w:sz w:val="17"/>
              </w:rPr>
              <w:t>Content</w:t>
            </w:r>
          </w:p>
        </w:tc>
        <w:tc>
          <w:tcPr>
            <w:tcW w:type="dxa" w:w="1800"/>
            <w:vAlign w:val="top"/>
          </w:tcPr>
          <w:p>
            <w:pPr>
              <w:spacing w:after="60"/>
            </w:pPr>
            <w:r>
              <w:rPr>
                <w:sz w:val="17"/>
              </w:rPr>
              <w:t>Potentially ₹0</w:t>
            </w:r>
          </w:p>
        </w:tc>
        <w:tc>
          <w:tcPr>
            <w:tcW w:type="dxa" w:w="5260"/>
            <w:vAlign w:val="top"/>
          </w:tcPr>
          <w:p>
            <w:pPr>
              <w:spacing w:after="60"/>
            </w:pPr>
            <w:r>
              <w:rPr>
                <w:sz w:val="17"/>
              </w:rPr>
              <w:t>Only if legally usable sources are selected; commercial books/licensing may cost money.</w:t>
            </w:r>
          </w:p>
        </w:tc>
      </w:tr>
      <w:tr>
        <w:tc>
          <w:tcPr>
            <w:tcW w:type="dxa" w:w="2300"/>
            <w:vAlign w:val="top"/>
          </w:tcPr>
          <w:p>
            <w:pPr>
              <w:spacing w:after="60"/>
            </w:pPr>
            <w:r>
              <w:rPr>
                <w:sz w:val="17"/>
              </w:rPr>
              <w:t>Domain</w:t>
            </w:r>
          </w:p>
        </w:tc>
        <w:tc>
          <w:tcPr>
            <w:tcW w:type="dxa" w:w="1800"/>
            <w:vAlign w:val="top"/>
          </w:tcPr>
          <w:p>
            <w:pPr>
              <w:spacing w:after="60"/>
            </w:pPr>
            <w:r>
              <w:rPr>
                <w:sz w:val="17"/>
              </w:rPr>
              <w:t>₹0 only via subdomain/free provider</w:t>
            </w:r>
          </w:p>
        </w:tc>
        <w:tc>
          <w:tcPr>
            <w:tcW w:type="dxa" w:w="5260"/>
            <w:vAlign w:val="top"/>
          </w:tcPr>
          <w:p>
            <w:pPr>
              <w:spacing w:after="60"/>
            </w:pPr>
            <w:r>
              <w:rPr>
                <w:sz w:val="17"/>
              </w:rPr>
              <w:t>A stable custom domain normally has an annual cost.</w:t>
            </w:r>
          </w:p>
        </w:tc>
      </w:tr>
      <w:tr>
        <w:tc>
          <w:tcPr>
            <w:tcW w:type="dxa" w:w="2300"/>
            <w:vAlign w:val="top"/>
          </w:tcPr>
          <w:p>
            <w:pPr>
              <w:spacing w:after="60"/>
            </w:pPr>
            <w:r>
              <w:rPr>
                <w:sz w:val="17"/>
              </w:rPr>
              <w:t>Public GPU inference</w:t>
            </w:r>
          </w:p>
        </w:tc>
        <w:tc>
          <w:tcPr>
            <w:tcW w:type="dxa" w:w="1800"/>
            <w:vAlign w:val="top"/>
          </w:tcPr>
          <w:p>
            <w:pPr>
              <w:spacing w:after="60"/>
            </w:pPr>
            <w:r>
              <w:rPr>
                <w:sz w:val="17"/>
              </w:rPr>
              <w:t>Not reliably ₹0</w:t>
            </w:r>
          </w:p>
        </w:tc>
        <w:tc>
          <w:tcPr>
            <w:tcW w:type="dxa" w:w="5260"/>
            <w:vAlign w:val="top"/>
          </w:tcPr>
          <w:p>
            <w:pPr>
              <w:spacing w:after="60"/>
            </w:pPr>
            <w:r>
              <w:rPr>
                <w:sz w:val="17"/>
              </w:rPr>
              <w:t>Free tiers sleep, cap usage, or lack suitable GPU. Plan a separate hosting budget or self-host securely.</w:t>
            </w:r>
          </w:p>
        </w:tc>
      </w:tr>
      <w:tr>
        <w:tc>
          <w:tcPr>
            <w:tcW w:type="dxa" w:w="2300"/>
            <w:vAlign w:val="top"/>
          </w:tcPr>
          <w:p>
            <w:pPr>
              <w:spacing w:after="60"/>
            </w:pPr>
            <w:r>
              <w:rPr>
                <w:sz w:val="17"/>
              </w:rPr>
              <w:t>Labor</w:t>
            </w:r>
          </w:p>
        </w:tc>
        <w:tc>
          <w:tcPr>
            <w:tcW w:type="dxa" w:w="1800"/>
            <w:vAlign w:val="top"/>
          </w:tcPr>
          <w:p>
            <w:pPr>
              <w:spacing w:after="60"/>
            </w:pPr>
            <w:r>
              <w:rPr>
                <w:sz w:val="17"/>
              </w:rPr>
              <w:t>Not zero</w:t>
            </w:r>
          </w:p>
        </w:tc>
        <w:tc>
          <w:tcPr>
            <w:tcW w:type="dxa" w:w="5260"/>
            <w:vAlign w:val="top"/>
          </w:tcPr>
          <w:p>
            <w:pPr>
              <w:spacing w:after="60"/>
            </w:pPr>
            <w:r>
              <w:rPr>
                <w:sz w:val="17"/>
              </w:rPr>
              <w:t>Six to seven engineer-weeks plus subject-matter review; opportunity cost is the largest cost.</w:t>
            </w:r>
          </w:p>
        </w:tc>
      </w:tr>
    </w:tbl>
    <w:p>
      <w:pPr>
        <w:spacing w:after="0"/>
      </w:pPr>
    </w:p>
    <w:p>
      <w:pPr>
        <w:pStyle w:val="Heading1"/>
      </w:pPr>
      <w:r>
        <w:t>18. Future Expansion (Not Designed Yet)</w:t>
      </w:r>
    </w:p>
    <w:p>
      <w:pPr>
        <w:pStyle w:val="ListBullet"/>
        <w:spacing w:after="60"/>
      </w:pPr>
      <w:r>
        <w:t>Voice conversation: add offline ASR and TTS adapters behind existing lesson/session API.</w:t>
      </w:r>
    </w:p>
    <w:p>
      <w:pPr>
        <w:pStyle w:val="ListBullet"/>
        <w:spacing w:after="60"/>
      </w:pPr>
      <w:r>
        <w:t>Quiz generation: derive questions from verified evidence and validate answer keys independently.</w:t>
      </w:r>
    </w:p>
    <w:p>
      <w:pPr>
        <w:pStyle w:val="ListBullet"/>
        <w:spacing w:after="60"/>
      </w:pPr>
      <w:r>
        <w:t>Mock tests: add exam blueprint, timers, negative marking, and psychometric review.</w:t>
      </w:r>
    </w:p>
    <w:p>
      <w:pPr>
        <w:pStyle w:val="ListBullet"/>
        <w:spacing w:after="60"/>
      </w:pPr>
      <w:r>
        <w:t>Revision planning: schedule weak concepts using deterministic spaced-repetition rules.</w:t>
      </w:r>
    </w:p>
    <w:p>
      <w:pPr>
        <w:pStyle w:val="ListBullet"/>
        <w:spacing w:after="60"/>
      </w:pPr>
      <w:r>
        <w:t>Personalized learning: use mastery trends and preference signals to select representation and review timing, while retaining user control.</w:t>
      </w:r>
    </w:p>
    <w:p>
      <w:pPr>
        <w:pStyle w:val="Heading1"/>
      </w:pPr>
      <w:r>
        <w:t>19. Final Recommendation</w:t>
      </w:r>
    </w:p>
    <w:p>
      <w:pPr>
        <w:pStyle w:val="DecisionCallout"/>
      </w:pPr>
      <w:r>
        <w:rPr>
          <w:b/>
        </w:rPr>
        <w:t xml:space="preserve">Build the smallest trustworthy learning loop: </w:t>
      </w:r>
      <w:r>
        <w:t>select concept → retrieve approved facts → plan story → write at chosen understanding level → verify every claim → show exam truth and sources → check comprehension → update mastery.</w:t>
      </w:r>
    </w:p>
    <w:p>
      <w:r>
        <w:t>Run React, FastAPI, SQLite, content ingestion, retrieval, structured context memory, caching, and the publication gate on the Dell. Run only llama.cpp/Ollama-compatible generation and embedding services on the RTX 5070 Ti PC. Start with Qwen3.5 9B Q5_K_M, with Gemma 3 12B Q4_K_M as the backup, but treat this as a hypothesis until the local bake-off. Restrict context to 8K, enforce a per-section token budget, keep all model layers on the 16 GB GPU where possible, pin exact artifacts, and do not fine-tune during MVP.</w:t>
      </w:r>
    </w:p>
    <w:p>
      <w:r>
        <w:t>The product’s defensible value is not story generation by itself. It is the combination of exam-scoped authoritative content, explicit pedagogical adaptation, memorable analogies with stated limits, and a publication gate that refuses unsupported lessons. Expand to Wi-Fi only after the local production gate; treat public deployment as a new security and operating-cost phase.</w:t>
      </w:r>
    </w:p>
    <w:p>
      <w:pPr>
        <w:pStyle w:val="Heading1"/>
      </w:pPr>
      <w:r>
        <w:t>Appendix A. Key Architecture Decisions</w:t>
      </w:r>
    </w:p>
    <w:tbl>
      <w:tblPr>
        <w:tblStyle w:val="TableGrid"/>
        <w:tblW w:type="dxa" w:w="9360"/>
        <w:jc w:val="left"/>
        <w:tblLayout w:type="fixed"/>
        <w:tblLook w:firstColumn="1" w:firstRow="1" w:lastColumn="0" w:lastRow="0" w:noHBand="0" w:noVBand="1" w:val="04A0"/>
        <w:tblInd w:w="120" w:type="dxa"/>
      </w:tblPr>
      <w:tblGrid>
        <w:gridCol w:w="1600"/>
        <w:gridCol w:w="2800"/>
        <w:gridCol w:w="4960"/>
      </w:tblGrid>
      <w:tr>
        <w:tc>
          <w:tcPr>
            <w:tcW w:type="dxa" w:w="1600"/>
            <w:shd w:fill="D9EAF7"/>
            <w:vAlign w:val="center"/>
          </w:tcPr>
          <w:p>
            <w:r>
              <w:rPr>
                <w:b/>
                <w:color w:val="17365D"/>
                <w:sz w:val="18"/>
              </w:rPr>
              <w:t>Decision</w:t>
            </w:r>
          </w:p>
        </w:tc>
        <w:tc>
          <w:tcPr>
            <w:tcW w:type="dxa" w:w="2800"/>
            <w:shd w:fill="D9EAF7"/>
            <w:vAlign w:val="center"/>
          </w:tcPr>
          <w:p>
            <w:r>
              <w:rPr>
                <w:b/>
                <w:color w:val="17365D"/>
                <w:sz w:val="18"/>
              </w:rPr>
              <w:t>Choice</w:t>
            </w:r>
          </w:p>
        </w:tc>
        <w:tc>
          <w:tcPr>
            <w:tcW w:type="dxa" w:w="4960"/>
            <w:shd w:fill="D9EAF7"/>
            <w:vAlign w:val="center"/>
          </w:tcPr>
          <w:p>
            <w:r>
              <w:rPr>
                <w:b/>
                <w:color w:val="17365D"/>
                <w:sz w:val="18"/>
              </w:rPr>
              <w:t>Reason</w:t>
            </w:r>
          </w:p>
        </w:tc>
      </w:tr>
      <w:tr>
        <w:tc>
          <w:tcPr>
            <w:tcW w:type="dxa" w:w="1600"/>
            <w:vAlign w:val="top"/>
          </w:tcPr>
          <w:p>
            <w:pPr>
              <w:spacing w:after="60"/>
            </w:pPr>
            <w:r>
              <w:rPr>
                <w:sz w:val="17"/>
              </w:rPr>
              <w:t>ADR-001</w:t>
            </w:r>
          </w:p>
        </w:tc>
        <w:tc>
          <w:tcPr>
            <w:tcW w:type="dxa" w:w="2800"/>
            <w:vAlign w:val="top"/>
          </w:tcPr>
          <w:p>
            <w:pPr>
              <w:spacing w:after="60"/>
            </w:pPr>
            <w:r>
              <w:rPr>
                <w:sz w:val="17"/>
              </w:rPr>
              <w:t>Two-host offline-first modular system</w:t>
            </w:r>
          </w:p>
        </w:tc>
        <w:tc>
          <w:tcPr>
            <w:tcW w:type="dxa" w:w="4960"/>
            <w:vAlign w:val="top"/>
          </w:tcPr>
          <w:p>
            <w:pPr>
              <w:spacing w:after="60"/>
            </w:pPr>
            <w:r>
              <w:rPr>
                <w:sz w:val="17"/>
              </w:rPr>
              <w:t>Dell runs product; RTX PC is a dedicated model appliance over private LAN.</w:t>
            </w:r>
          </w:p>
        </w:tc>
      </w:tr>
      <w:tr>
        <w:tc>
          <w:tcPr>
            <w:tcW w:type="dxa" w:w="1600"/>
            <w:vAlign w:val="top"/>
          </w:tcPr>
          <w:p>
            <w:pPr>
              <w:spacing w:after="60"/>
            </w:pPr>
            <w:r>
              <w:rPr>
                <w:sz w:val="17"/>
              </w:rPr>
              <w:t>ADR-002</w:t>
            </w:r>
          </w:p>
        </w:tc>
        <w:tc>
          <w:tcPr>
            <w:tcW w:type="dxa" w:w="2800"/>
            <w:vAlign w:val="top"/>
          </w:tcPr>
          <w:p>
            <w:pPr>
              <w:spacing w:after="60"/>
            </w:pPr>
            <w:r>
              <w:rPr>
                <w:sz w:val="17"/>
              </w:rPr>
              <w:t>RAG before fine-tuning</w:t>
            </w:r>
          </w:p>
        </w:tc>
        <w:tc>
          <w:tcPr>
            <w:tcW w:type="dxa" w:w="4960"/>
            <w:vAlign w:val="top"/>
          </w:tcPr>
          <w:p>
            <w:pPr>
              <w:spacing w:after="60"/>
            </w:pPr>
            <w:r>
              <w:rPr>
                <w:sz w:val="17"/>
              </w:rPr>
              <w:t>Facts remain updateable, citable, and license-governed.</w:t>
            </w:r>
          </w:p>
        </w:tc>
      </w:tr>
      <w:tr>
        <w:tc>
          <w:tcPr>
            <w:tcW w:type="dxa" w:w="1600"/>
            <w:vAlign w:val="top"/>
          </w:tcPr>
          <w:p>
            <w:pPr>
              <w:spacing w:after="60"/>
            </w:pPr>
            <w:r>
              <w:rPr>
                <w:sz w:val="17"/>
              </w:rPr>
              <w:t>ADR-003</w:t>
            </w:r>
          </w:p>
        </w:tc>
        <w:tc>
          <w:tcPr>
            <w:tcW w:type="dxa" w:w="2800"/>
            <w:vAlign w:val="top"/>
          </w:tcPr>
          <w:p>
            <w:pPr>
              <w:spacing w:after="60"/>
            </w:pPr>
            <w:r>
              <w:rPr>
                <w:sz w:val="17"/>
              </w:rPr>
              <w:t>Two-stage generation + verifier</w:t>
            </w:r>
          </w:p>
        </w:tc>
        <w:tc>
          <w:tcPr>
            <w:tcW w:type="dxa" w:w="4960"/>
            <w:vAlign w:val="top"/>
          </w:tcPr>
          <w:p>
            <w:pPr>
              <w:spacing w:after="60"/>
            </w:pPr>
            <w:r>
              <w:rPr>
                <w:sz w:val="17"/>
              </w:rPr>
              <w:t>Separates pedagogy from truth assessment and enables blocking.</w:t>
            </w:r>
          </w:p>
        </w:tc>
      </w:tr>
      <w:tr>
        <w:tc>
          <w:tcPr>
            <w:tcW w:type="dxa" w:w="1600"/>
            <w:vAlign w:val="top"/>
          </w:tcPr>
          <w:p>
            <w:pPr>
              <w:spacing w:after="60"/>
            </w:pPr>
            <w:r>
              <w:rPr>
                <w:sz w:val="17"/>
              </w:rPr>
              <w:t>ADR-004</w:t>
            </w:r>
          </w:p>
        </w:tc>
        <w:tc>
          <w:tcPr>
            <w:tcW w:type="dxa" w:w="2800"/>
            <w:vAlign w:val="top"/>
          </w:tcPr>
          <w:p>
            <w:pPr>
              <w:spacing w:after="60"/>
            </w:pPr>
            <w:r>
              <w:rPr>
                <w:sz w:val="17"/>
              </w:rPr>
              <w:t>Structured hierarchical memory on Dell</w:t>
            </w:r>
          </w:p>
        </w:tc>
        <w:tc>
          <w:tcPr>
            <w:tcW w:type="dxa" w:w="4960"/>
            <w:vAlign w:val="top"/>
          </w:tcPr>
          <w:p>
            <w:pPr>
              <w:spacing w:after="60"/>
            </w:pPr>
            <w:r>
              <w:rPr>
                <w:sz w:val="17"/>
              </w:rPr>
              <w:t>Deterministic fields plus bounded summaries reduce tokens and remain auditable.</w:t>
            </w:r>
          </w:p>
        </w:tc>
      </w:tr>
      <w:tr>
        <w:tc>
          <w:tcPr>
            <w:tcW w:type="dxa" w:w="1600"/>
            <w:vAlign w:val="top"/>
          </w:tcPr>
          <w:p>
            <w:pPr>
              <w:spacing w:after="60"/>
            </w:pPr>
            <w:r>
              <w:rPr>
                <w:sz w:val="17"/>
              </w:rPr>
              <w:t>ADR-005</w:t>
            </w:r>
          </w:p>
        </w:tc>
        <w:tc>
          <w:tcPr>
            <w:tcW w:type="dxa" w:w="2800"/>
            <w:vAlign w:val="top"/>
          </w:tcPr>
          <w:p>
            <w:pPr>
              <w:spacing w:after="60"/>
            </w:pPr>
            <w:r>
              <w:rPr>
                <w:sz w:val="17"/>
              </w:rPr>
              <w:t>Authenticated model gateway</w:t>
            </w:r>
          </w:p>
        </w:tc>
        <w:tc>
          <w:tcPr>
            <w:tcW w:type="dxa" w:w="4960"/>
            <w:vAlign w:val="top"/>
          </w:tcPr>
          <w:p>
            <w:pPr>
              <w:spacing w:after="60"/>
            </w:pPr>
            <w:r>
              <w:rPr>
                <w:sz w:val="17"/>
              </w:rPr>
              <w:t>Avoids runtime lock-in and prevents browser/direct database access to model host.</w:t>
            </w:r>
          </w:p>
        </w:tc>
      </w:tr>
      <w:tr>
        <w:tc>
          <w:tcPr>
            <w:tcW w:type="dxa" w:w="1600"/>
            <w:vAlign w:val="top"/>
          </w:tcPr>
          <w:p>
            <w:pPr>
              <w:spacing w:after="60"/>
            </w:pPr>
            <w:r>
              <w:rPr>
                <w:sz w:val="17"/>
              </w:rPr>
              <w:t>ADR-006</w:t>
            </w:r>
          </w:p>
        </w:tc>
        <w:tc>
          <w:tcPr>
            <w:tcW w:type="dxa" w:w="2800"/>
            <w:vAlign w:val="top"/>
          </w:tcPr>
          <w:p>
            <w:pPr>
              <w:spacing w:after="60"/>
            </w:pPr>
            <w:r>
              <w:rPr>
                <w:sz w:val="17"/>
              </w:rPr>
              <w:t>Manual dated current-affairs packs</w:t>
            </w:r>
          </w:p>
        </w:tc>
        <w:tc>
          <w:tcPr>
            <w:tcW w:type="dxa" w:w="4960"/>
            <w:vAlign w:val="top"/>
          </w:tcPr>
          <w:p>
            <w:pPr>
              <w:spacing w:after="60"/>
            </w:pPr>
            <w:r>
              <w:rPr>
                <w:sz w:val="17"/>
              </w:rPr>
              <w:t>Preserves internet independence and avoids false freshness.</w:t>
            </w:r>
          </w:p>
        </w:tc>
      </w:tr>
      <w:tr>
        <w:tc>
          <w:tcPr>
            <w:tcW w:type="dxa" w:w="1600"/>
            <w:vAlign w:val="top"/>
          </w:tcPr>
          <w:p>
            <w:pPr>
              <w:spacing w:after="60"/>
            </w:pPr>
            <w:r>
              <w:rPr>
                <w:sz w:val="17"/>
              </w:rPr>
              <w:t>ADR-007</w:t>
            </w:r>
          </w:p>
        </w:tc>
        <w:tc>
          <w:tcPr>
            <w:tcW w:type="dxa" w:w="2800"/>
            <w:vAlign w:val="top"/>
          </w:tcPr>
          <w:p>
            <w:pPr>
              <w:spacing w:after="60"/>
            </w:pPr>
            <w:r>
              <w:rPr>
                <w:sz w:val="17"/>
              </w:rPr>
              <w:t>English-first acceptance baseline</w:t>
            </w:r>
          </w:p>
        </w:tc>
        <w:tc>
          <w:tcPr>
            <w:tcW w:type="dxa" w:w="4960"/>
            <w:vAlign w:val="top"/>
          </w:tcPr>
          <w:p>
            <w:pPr>
              <w:spacing w:after="60"/>
            </w:pPr>
            <w:r>
              <w:rPr>
                <w:sz w:val="17"/>
              </w:rPr>
              <w:t>Prevents unmeasured multilingual quality claims; add languages by evidence.</w:t>
            </w:r>
          </w:p>
        </w:tc>
      </w:tr>
      <w:tr>
        <w:tc>
          <w:tcPr>
            <w:tcW w:type="dxa" w:w="1600"/>
            <w:vAlign w:val="top"/>
          </w:tcPr>
          <w:p>
            <w:pPr>
              <w:spacing w:after="60"/>
            </w:pPr>
            <w:r>
              <w:rPr>
                <w:sz w:val="17"/>
              </w:rPr>
              <w:t>ADR-008</w:t>
            </w:r>
          </w:p>
        </w:tc>
        <w:tc>
          <w:tcPr>
            <w:tcW w:type="dxa" w:w="2800"/>
            <w:vAlign w:val="top"/>
          </w:tcPr>
          <w:p>
            <w:pPr>
              <w:spacing w:after="60"/>
            </w:pPr>
            <w:r>
              <w:rPr>
                <w:sz w:val="17"/>
              </w:rPr>
              <w:t>Cached verified-lesson fallback</w:t>
            </w:r>
          </w:p>
        </w:tc>
        <w:tc>
          <w:tcPr>
            <w:tcW w:type="dxa" w:w="4960"/>
            <w:vAlign w:val="top"/>
          </w:tcPr>
          <w:p>
            <w:pPr>
              <w:spacing w:after="60"/>
            </w:pPr>
            <w:r>
              <w:rPr>
                <w:sz w:val="17"/>
              </w:rPr>
              <w:t>Reading continues when RTX PC or LAN is unavailable; generation does not.</w:t>
            </w:r>
          </w:p>
        </w:tc>
      </w:tr>
      <w:tr>
        <w:tc>
          <w:tcPr>
            <w:tcW w:type="dxa" w:w="1600"/>
            <w:vAlign w:val="top"/>
          </w:tcPr>
          <w:p>
            <w:pPr>
              <w:spacing w:after="60"/>
            </w:pPr>
            <w:r>
              <w:rPr>
                <w:sz w:val="17"/>
              </w:rPr>
              <w:t>ADR-009</w:t>
            </w:r>
          </w:p>
        </w:tc>
        <w:tc>
          <w:tcPr>
            <w:tcW w:type="dxa" w:w="2800"/>
            <w:vAlign w:val="top"/>
          </w:tcPr>
          <w:p>
            <w:pPr>
              <w:spacing w:after="60"/>
            </w:pPr>
            <w:r>
              <w:rPr>
                <w:sz w:val="17"/>
              </w:rPr>
              <w:t>Fixed context-token budget</w:t>
            </w:r>
          </w:p>
        </w:tc>
        <w:tc>
          <w:tcPr>
            <w:tcW w:type="dxa" w:w="4960"/>
            <w:vAlign w:val="top"/>
          </w:tcPr>
          <w:p>
            <w:pPr>
              <w:spacing w:after="60"/>
            </w:pPr>
            <w:r>
              <w:rPr>
                <w:sz w:val="17"/>
              </w:rPr>
              <w:t>Relevant retrieval and compaction prevent context growth with conversation age.</w:t>
            </w:r>
          </w:p>
        </w:tc>
      </w:tr>
    </w:tbl>
    <w:p>
      <w:pPr>
        <w:spacing w:after="0"/>
      </w:pPr>
    </w:p>
    <w:p>
      <w:pPr>
        <w:pStyle w:val="Heading1"/>
      </w:pPr>
      <w:r>
        <w:t>Appendix B. Source Notes</w:t>
      </w:r>
    </w:p>
    <w:p>
      <w:pPr>
        <w:pStyle w:val="ListBullet"/>
      </w:pPr>
      <w:r>
        <w:rPr>
          <w:b/>
        </w:rPr>
        <w:t xml:space="preserve">Qwen3 official release (model sizes, Apache 2.0, local runtimes): </w:t>
      </w:r>
      <w:r>
        <w:t>https://qwenlm.github.io/blog/qwen3/</w:t>
      </w:r>
    </w:p>
    <w:p>
      <w:pPr>
        <w:pStyle w:val="ListBullet"/>
      </w:pPr>
      <w:r>
        <w:rPr>
          <w:b/>
        </w:rPr>
        <w:t xml:space="preserve">Qwen3.5 9B official model card: </w:t>
      </w:r>
      <w:r>
        <w:t>https://huggingface.co/Qwen/Qwen3.5-9B</w:t>
      </w:r>
    </w:p>
    <w:p>
      <w:pPr>
        <w:pStyle w:val="ListBullet"/>
      </w:pPr>
      <w:r>
        <w:rPr>
          <w:b/>
        </w:rPr>
        <w:t xml:space="preserve">Qwen3.5 27B official model card (serving and context behavior): </w:t>
      </w:r>
      <w:r>
        <w:t>https://huggingface.co/Qwen/Qwen3.5-27B</w:t>
      </w:r>
    </w:p>
    <w:p>
      <w:pPr>
        <w:pStyle w:val="ListBullet"/>
      </w:pPr>
      <w:r>
        <w:rPr>
          <w:b/>
        </w:rPr>
        <w:t xml:space="preserve">Gemma 3 official model card: </w:t>
      </w:r>
      <w:r>
        <w:t>https://ai.google.dev/gemma/docs/core/model_card_3</w:t>
      </w:r>
    </w:p>
    <w:p>
      <w:pPr>
        <w:pStyle w:val="ListBullet"/>
      </w:pPr>
      <w:r>
        <w:rPr>
          <w:b/>
        </w:rPr>
        <w:t xml:space="preserve">Mistral Small 3.1 official announcement: </w:t>
      </w:r>
      <w:r>
        <w:t>https://mistral.ai/news/mistral-small-3-1/</w:t>
      </w:r>
    </w:p>
    <w:p>
      <w:pPr>
        <w:pStyle w:val="ListBullet"/>
      </w:pPr>
      <w:r>
        <w:rPr>
          <w:b/>
        </w:rPr>
        <w:t xml:space="preserve">Phi-4 official model card: </w:t>
      </w:r>
      <w:r>
        <w:t>https://huggingface.co/microsoft/phi-4</w:t>
      </w:r>
    </w:p>
    <w:p>
      <w:pPr>
        <w:pStyle w:val="ListBullet"/>
      </w:pPr>
      <w:r>
        <w:rPr>
          <w:b/>
        </w:rPr>
        <w:t xml:space="preserve">Llama 4 Scout official model card: </w:t>
      </w:r>
      <w:r>
        <w:t>https://huggingface.co/meta-llama/Llama-4-Scout-17B-16E</w:t>
      </w:r>
    </w:p>
    <w:p>
      <w:pPr>
        <w:pStyle w:val="ListBullet"/>
      </w:pPr>
      <w:r>
        <w:rPr>
          <w:b/>
        </w:rPr>
        <w:t xml:space="preserve">Qwen3 Embedding official model card: </w:t>
      </w:r>
      <w:r>
        <w:t>https://huggingface.co/Qwen/Qwen3-Embedding-0.6B</w:t>
      </w:r>
    </w:p>
    <w:p>
      <w:r>
        <w:t>Source facts were checked on 23 August 2026. Model ecosystems move quickly; repeat runtime compatibility and license checks before implementation or redistribution.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Architecture baseline | 23 August 2026 | Offline-first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AI STORY TUTOR | MVP SOFTWARE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Callout">
    <w:name w:val="Key Callout"/>
    <w:pPr>
      <w:spacing w:before="120" w:after="160"/>
      <w:ind w:left="259" w:right="259"/>
      <w:shd w:fill="EAF2F8"/>
    </w:pPr>
    <w:rPr>
      <w:rFonts w:ascii="Calibri" w:hAnsi="Calibri"/>
      <w:color w:val="17365D"/>
      <w:sz w:val="21"/>
    </w:rPr>
  </w:style>
  <w:style w:type="paragraph" w:customStyle="1" w:styleId="RiskCallout">
    <w:name w:val="Risk Callout"/>
    <w:pPr>
      <w:spacing w:before="120" w:after="160"/>
      <w:ind w:left="259" w:right="259"/>
      <w:shd w:fill="FCECEC"/>
    </w:pPr>
    <w:rPr>
      <w:rFonts w:ascii="Calibri" w:hAnsi="Calibri"/>
      <w:color w:val="A61B1B"/>
      <w:sz w:val="21"/>
    </w:rPr>
  </w:style>
  <w:style w:type="paragraph" w:customStyle="1" w:styleId="DecisionCallout">
    <w:name w:val="Decision Callout"/>
    <w:pPr>
      <w:spacing w:before="120" w:after="160"/>
      <w:ind w:left="259" w:right="259"/>
      <w:shd w:fill="EAF5EA"/>
    </w:pPr>
    <w:rPr>
      <w:rFonts w:ascii="Calibri" w:hAnsi="Calibri"/>
      <w:color w:val="2E7D3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Story Tutor MVP Software Architecture</dc:title>
  <dc:subject>Offline-first educational agent for Indian Government Exam preparation</dc:subject>
  <dc:creator>Solution Architecture Review</dc:creator>
  <cp:keywords/>
  <dc:description>generated by python-docx</dc:description>
  <cp:lastModifiedBy/>
  <cp:revision>1</cp:revision>
  <dcterms:created xsi:type="dcterms:W3CDTF">2013-12-23T23:15:00Z</dcterms:created>
  <dcterms:modified xsi:type="dcterms:W3CDTF">2013-12-23T23:15:00Z</dcterms:modified>
  <cp:category/>
</cp:coreProperties>
</file>