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57" w:rsidRPr="00025F57" w:rsidRDefault="00025F57" w:rsidP="00025F57">
      <w:pPr>
        <w:jc w:val="center"/>
        <w:rPr>
          <w:rFonts w:ascii="Arial Narrow" w:hAnsi="Arial Narrow"/>
          <w:b/>
        </w:rPr>
      </w:pPr>
      <w:r w:rsidRPr="00025F57">
        <w:rPr>
          <w:rFonts w:ascii="Arial Narrow" w:hAnsi="Arial Narrow"/>
          <w:b/>
        </w:rPr>
        <w:t>Síntesis de criterios para realizar revisiones sistemáticas de literatura</w:t>
      </w:r>
    </w:p>
    <w:p w:rsidR="00383288" w:rsidRPr="00E20991" w:rsidRDefault="00383288" w:rsidP="00383288">
      <w:pPr>
        <w:jc w:val="both"/>
        <w:rPr>
          <w:rFonts w:ascii="Arial Narrow" w:hAnsi="Arial Narrow"/>
        </w:rPr>
      </w:pPr>
      <w:r w:rsidRPr="00E20991">
        <w:rPr>
          <w:rFonts w:ascii="Arial Narrow" w:hAnsi="Arial Narrow"/>
        </w:rPr>
        <w:t>Desde la literatura se plantea que la revisión de literatura de manera sistemática es un elemento fundamental para la investigación</w:t>
      </w:r>
      <w:r w:rsidR="00873B00" w:rsidRPr="00E20991">
        <w:rPr>
          <w:rFonts w:ascii="Arial Narrow" w:hAnsi="Arial Narrow"/>
        </w:rPr>
        <w:t>, id</w:t>
      </w:r>
      <w:r w:rsidR="00865AAD" w:rsidRPr="00E20991">
        <w:rPr>
          <w:rFonts w:ascii="Arial Narrow" w:hAnsi="Arial Narrow"/>
        </w:rPr>
        <w:t xml:space="preserve">entificando sus principales contribuciones, es decir, el rol que juega </w:t>
      </w:r>
      <w:r w:rsidR="00025F57">
        <w:rPr>
          <w:rFonts w:ascii="Arial Narrow" w:hAnsi="Arial Narrow"/>
        </w:rPr>
        <w:t xml:space="preserve">este tipo de revisión </w:t>
      </w:r>
      <w:r w:rsidR="00865AAD" w:rsidRPr="00E20991">
        <w:rPr>
          <w:rFonts w:ascii="Arial Narrow" w:hAnsi="Arial Narrow"/>
        </w:rPr>
        <w:t>en la investigación</w:t>
      </w:r>
      <w:r w:rsidR="00873B00" w:rsidRPr="00E20991">
        <w:rPr>
          <w:rFonts w:ascii="Arial Narrow" w:hAnsi="Arial Narrow"/>
        </w:rPr>
        <w:t xml:space="preserve"> (</w:t>
      </w:r>
      <w:proofErr w:type="spellStart"/>
      <w:r w:rsidR="00873B00" w:rsidRPr="00E20991">
        <w:rPr>
          <w:rFonts w:ascii="Arial Narrow" w:hAnsi="Arial Narrow"/>
        </w:rPr>
        <w:t>Gall</w:t>
      </w:r>
      <w:proofErr w:type="spellEnd"/>
      <w:r w:rsidR="00873B00" w:rsidRPr="00E20991">
        <w:rPr>
          <w:rFonts w:ascii="Arial Narrow" w:hAnsi="Arial Narrow"/>
        </w:rPr>
        <w:t xml:space="preserve">, 1996 y </w:t>
      </w:r>
      <w:proofErr w:type="spellStart"/>
      <w:r w:rsidR="00873B00" w:rsidRPr="00E20991">
        <w:rPr>
          <w:rFonts w:ascii="Arial Narrow" w:hAnsi="Arial Narrow"/>
        </w:rPr>
        <w:t>Hart</w:t>
      </w:r>
      <w:proofErr w:type="spellEnd"/>
      <w:r w:rsidR="00873B00" w:rsidRPr="00E20991">
        <w:rPr>
          <w:rFonts w:ascii="Arial Narrow" w:hAnsi="Arial Narrow"/>
        </w:rPr>
        <w:t xml:space="preserve">, 1998, citados en </w:t>
      </w:r>
      <w:proofErr w:type="spellStart"/>
      <w:r w:rsidR="00873B00" w:rsidRPr="00E20991">
        <w:rPr>
          <w:rFonts w:ascii="Arial Narrow" w:hAnsi="Arial Narrow"/>
        </w:rPr>
        <w:t>Randolph</w:t>
      </w:r>
      <w:proofErr w:type="spellEnd"/>
      <w:r w:rsidR="00873B00" w:rsidRPr="00E20991">
        <w:rPr>
          <w:rFonts w:ascii="Arial Narrow" w:hAnsi="Arial Narrow"/>
        </w:rPr>
        <w:t>, 2009)</w:t>
      </w:r>
      <w:r w:rsidR="00865AAD" w:rsidRPr="00E20991">
        <w:rPr>
          <w:rFonts w:ascii="Arial Narrow" w:hAnsi="Arial Narrow"/>
        </w:rPr>
        <w:t xml:space="preserve">. Algunas de estas contribuciones son: </w:t>
      </w:r>
      <w:bookmarkStart w:id="0" w:name="_GoBack"/>
      <w:bookmarkEnd w:id="0"/>
      <w:r w:rsidR="00865AAD" w:rsidRPr="00E20991">
        <w:rPr>
          <w:rFonts w:ascii="Arial Narrow" w:hAnsi="Arial Narrow"/>
        </w:rPr>
        <w:t xml:space="preserve">contribuye a la identificación de nuevas líneas de investigación, advierte nuevas formas de indagación de los problemas, enfatizan los aspectos necesarios de profundizar y potenciales mecanismos de indagación, entre otras. </w:t>
      </w:r>
      <w:r w:rsidR="00873B00" w:rsidRPr="00E20991">
        <w:rPr>
          <w:rFonts w:ascii="Arial Narrow" w:hAnsi="Arial Narrow"/>
        </w:rPr>
        <w:t xml:space="preserve"> </w:t>
      </w:r>
    </w:p>
    <w:p w:rsidR="00865AAD" w:rsidRPr="00E20991" w:rsidRDefault="00865AAD" w:rsidP="00383288">
      <w:pPr>
        <w:jc w:val="both"/>
        <w:rPr>
          <w:rFonts w:ascii="Arial Narrow" w:hAnsi="Arial Narrow"/>
        </w:rPr>
      </w:pPr>
      <w:r w:rsidRPr="00E20991">
        <w:rPr>
          <w:rFonts w:ascii="Arial Narrow" w:hAnsi="Arial Narrow"/>
        </w:rPr>
        <w:t xml:space="preserve">A continuación se indican dos </w:t>
      </w:r>
      <w:r w:rsidR="00025F57">
        <w:rPr>
          <w:rFonts w:ascii="Arial Narrow" w:hAnsi="Arial Narrow"/>
        </w:rPr>
        <w:t xml:space="preserve">de las </w:t>
      </w:r>
      <w:r w:rsidRPr="00E20991">
        <w:rPr>
          <w:rFonts w:ascii="Arial Narrow" w:hAnsi="Arial Narrow"/>
        </w:rPr>
        <w:t>propuestas de revisión de literatura</w:t>
      </w:r>
      <w:r w:rsidR="00025F57">
        <w:rPr>
          <w:rFonts w:ascii="Arial Narrow" w:hAnsi="Arial Narrow"/>
        </w:rPr>
        <w:t xml:space="preserve"> más reconocidas en el ámbito de las ciencias sociales</w:t>
      </w:r>
      <w:r w:rsidRPr="00E20991">
        <w:rPr>
          <w:rFonts w:ascii="Arial Narrow" w:hAnsi="Arial Narrow"/>
        </w:rPr>
        <w:t xml:space="preserve">. La primera corresponde a la taxonomía de revisión bibliográfica elaborada por Cooper (1988, citado en </w:t>
      </w:r>
      <w:proofErr w:type="spellStart"/>
      <w:r w:rsidRPr="00E20991">
        <w:rPr>
          <w:rFonts w:ascii="Arial Narrow" w:hAnsi="Arial Narrow"/>
        </w:rPr>
        <w:t>Randolph</w:t>
      </w:r>
      <w:proofErr w:type="spellEnd"/>
      <w:r w:rsidRPr="00E20991">
        <w:rPr>
          <w:rFonts w:ascii="Arial Narrow" w:hAnsi="Arial Narrow"/>
        </w:rPr>
        <w:t xml:space="preserve">, 2009) y la segunda es elaborada por </w:t>
      </w:r>
      <w:proofErr w:type="spellStart"/>
      <w:r w:rsidRPr="00E20991">
        <w:rPr>
          <w:rFonts w:ascii="Arial Narrow" w:hAnsi="Arial Narrow"/>
        </w:rPr>
        <w:t>Botte</w:t>
      </w:r>
      <w:proofErr w:type="spellEnd"/>
      <w:r w:rsidRPr="00E20991">
        <w:rPr>
          <w:rFonts w:ascii="Arial Narrow" w:hAnsi="Arial Narrow"/>
        </w:rPr>
        <w:t xml:space="preserve"> y </w:t>
      </w:r>
      <w:proofErr w:type="spellStart"/>
      <w:r w:rsidRPr="00E20991">
        <w:rPr>
          <w:rFonts w:ascii="Arial Narrow" w:hAnsi="Arial Narrow"/>
        </w:rPr>
        <w:t>Belie</w:t>
      </w:r>
      <w:proofErr w:type="spellEnd"/>
      <w:r w:rsidRPr="00E20991">
        <w:rPr>
          <w:rFonts w:ascii="Arial Narrow" w:hAnsi="Arial Narrow"/>
        </w:rPr>
        <w:t xml:space="preserve"> (2005) a partir de los criterios </w:t>
      </w:r>
      <w:r w:rsidR="00025F57">
        <w:rPr>
          <w:rFonts w:ascii="Arial Narrow" w:hAnsi="Arial Narrow"/>
        </w:rPr>
        <w:t>construidos</w:t>
      </w:r>
      <w:r w:rsidRPr="00E20991">
        <w:rPr>
          <w:rFonts w:ascii="Arial Narrow" w:hAnsi="Arial Narrow"/>
        </w:rPr>
        <w:t xml:space="preserve"> por </w:t>
      </w:r>
      <w:r w:rsidR="00025F57">
        <w:rPr>
          <w:rFonts w:ascii="Arial Narrow" w:hAnsi="Arial Narrow"/>
        </w:rPr>
        <w:t xml:space="preserve">Cooper (1985) y </w:t>
      </w:r>
      <w:proofErr w:type="spellStart"/>
      <w:r w:rsidRPr="00E20991">
        <w:rPr>
          <w:rFonts w:ascii="Arial Narrow" w:hAnsi="Arial Narrow"/>
        </w:rPr>
        <w:t>Hart</w:t>
      </w:r>
      <w:proofErr w:type="spellEnd"/>
      <w:r w:rsidRPr="00E20991">
        <w:rPr>
          <w:rFonts w:ascii="Arial Narrow" w:hAnsi="Arial Narrow"/>
        </w:rPr>
        <w:t xml:space="preserve"> (1999</w:t>
      </w:r>
      <w:r w:rsidR="00025F57">
        <w:rPr>
          <w:rFonts w:ascii="Arial Narrow" w:hAnsi="Arial Narrow"/>
        </w:rPr>
        <w:t xml:space="preserve">) </w:t>
      </w:r>
      <w:r w:rsidRPr="00E20991">
        <w:rPr>
          <w:rFonts w:ascii="Arial Narrow" w:hAnsi="Arial Narrow"/>
        </w:rPr>
        <w:t>en torno al proceso de revisión</w:t>
      </w:r>
      <w:r w:rsidR="00025F57">
        <w:rPr>
          <w:rFonts w:ascii="Arial Narrow" w:hAnsi="Arial Narrow"/>
        </w:rPr>
        <w:t xml:space="preserve">, </w:t>
      </w:r>
      <w:r w:rsidR="00025F57">
        <w:rPr>
          <w:rFonts w:ascii="Arial Narrow" w:hAnsi="Arial Narrow"/>
        </w:rPr>
        <w:t>ambos</w:t>
      </w:r>
      <w:r w:rsidR="00025F57" w:rsidRPr="00E20991">
        <w:rPr>
          <w:rFonts w:ascii="Arial Narrow" w:hAnsi="Arial Narrow"/>
        </w:rPr>
        <w:t xml:space="preserve"> </w:t>
      </w:r>
      <w:r w:rsidR="00025F57">
        <w:rPr>
          <w:rFonts w:ascii="Arial Narrow" w:hAnsi="Arial Narrow"/>
        </w:rPr>
        <w:t xml:space="preserve">autores </w:t>
      </w:r>
      <w:r w:rsidR="00025F57" w:rsidRPr="00E20991">
        <w:rPr>
          <w:rFonts w:ascii="Arial Narrow" w:hAnsi="Arial Narrow"/>
        </w:rPr>
        <w:t>citado</w:t>
      </w:r>
      <w:r w:rsidR="00025F57">
        <w:rPr>
          <w:rFonts w:ascii="Arial Narrow" w:hAnsi="Arial Narrow"/>
        </w:rPr>
        <w:t xml:space="preserve">s por </w:t>
      </w:r>
      <w:proofErr w:type="spellStart"/>
      <w:r w:rsidR="00025F57">
        <w:rPr>
          <w:rFonts w:ascii="Arial Narrow" w:hAnsi="Arial Narrow"/>
        </w:rPr>
        <w:t>Botte</w:t>
      </w:r>
      <w:proofErr w:type="spellEnd"/>
      <w:r w:rsidR="00025F57">
        <w:rPr>
          <w:rFonts w:ascii="Arial Narrow" w:hAnsi="Arial Narrow"/>
        </w:rPr>
        <w:t xml:space="preserve"> y </w:t>
      </w:r>
      <w:proofErr w:type="spellStart"/>
      <w:r w:rsidR="00025F57">
        <w:rPr>
          <w:rFonts w:ascii="Arial Narrow" w:hAnsi="Arial Narrow"/>
        </w:rPr>
        <w:t>Belie</w:t>
      </w:r>
      <w:proofErr w:type="spellEnd"/>
      <w:r w:rsidR="00025F57">
        <w:rPr>
          <w:rFonts w:ascii="Arial Narrow" w:hAnsi="Arial Narrow"/>
        </w:rPr>
        <w:t xml:space="preserve"> (</w:t>
      </w:r>
      <w:r w:rsidR="00025F57" w:rsidRPr="00E20991">
        <w:rPr>
          <w:rFonts w:ascii="Arial Narrow" w:hAnsi="Arial Narrow"/>
        </w:rPr>
        <w:t>2005)</w:t>
      </w:r>
      <w:r w:rsidRPr="00E20991">
        <w:rPr>
          <w:rFonts w:ascii="Arial Narrow" w:hAnsi="Arial Narrow"/>
        </w:rPr>
        <w:t xml:space="preserve">. </w:t>
      </w:r>
    </w:p>
    <w:p w:rsidR="00865AAD" w:rsidRDefault="00865AAD" w:rsidP="00383288">
      <w:pPr>
        <w:jc w:val="both"/>
        <w:rPr>
          <w:rFonts w:ascii="Arial Narrow" w:hAnsi="Arial Narrow"/>
        </w:rPr>
      </w:pPr>
      <w:r w:rsidRPr="00E20991">
        <w:rPr>
          <w:rFonts w:ascii="Arial Narrow" w:hAnsi="Arial Narrow"/>
        </w:rPr>
        <w:t xml:space="preserve">Cooper (1988, citado en </w:t>
      </w:r>
      <w:proofErr w:type="spellStart"/>
      <w:r w:rsidRPr="00E20991">
        <w:rPr>
          <w:rFonts w:ascii="Arial Narrow" w:hAnsi="Arial Narrow"/>
        </w:rPr>
        <w:t>Randolph</w:t>
      </w:r>
      <w:proofErr w:type="spellEnd"/>
      <w:r w:rsidRPr="00E20991">
        <w:rPr>
          <w:rFonts w:ascii="Arial Narrow" w:hAnsi="Arial Narrow"/>
        </w:rPr>
        <w:t>, 2009) construyó una taxonomía para revisiones bibliográficas compuesta por cinco características: foco, objetivo, perspectiva, cobertura, organización y destinatarios.</w:t>
      </w:r>
    </w:p>
    <w:p w:rsidR="00E20991" w:rsidRPr="00E20991" w:rsidRDefault="00E20991" w:rsidP="00E20991">
      <w:pPr>
        <w:jc w:val="center"/>
        <w:rPr>
          <w:rFonts w:ascii="Arial Narrow" w:hAnsi="Arial Narrow"/>
        </w:rPr>
      </w:pPr>
      <w:r w:rsidRPr="00E20991">
        <w:rPr>
          <w:rFonts w:ascii="Arial Narrow" w:hAnsi="Arial Narrow"/>
          <w:b/>
        </w:rPr>
        <w:t xml:space="preserve">Tabla 1. </w:t>
      </w:r>
      <w:r>
        <w:rPr>
          <w:rFonts w:ascii="Arial Narrow" w:hAnsi="Arial Narrow"/>
        </w:rPr>
        <w:t>Taxonomía de revisión bibliográfica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3349"/>
      </w:tblGrid>
      <w:tr w:rsidR="00865AAD" w:rsidRPr="00025F57" w:rsidTr="00025F57">
        <w:trPr>
          <w:jc w:val="center"/>
        </w:trPr>
        <w:tc>
          <w:tcPr>
            <w:tcW w:w="1809" w:type="dxa"/>
          </w:tcPr>
          <w:p w:rsidR="00865AAD" w:rsidRPr="00025F57" w:rsidRDefault="00865AAD" w:rsidP="00E2099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25F57">
              <w:rPr>
                <w:rFonts w:ascii="Arial Narrow" w:hAnsi="Arial Narrow"/>
                <w:b/>
                <w:sz w:val="20"/>
                <w:szCs w:val="20"/>
              </w:rPr>
              <w:t>Características</w:t>
            </w:r>
          </w:p>
        </w:tc>
        <w:tc>
          <w:tcPr>
            <w:tcW w:w="3349" w:type="dxa"/>
          </w:tcPr>
          <w:p w:rsidR="00865AAD" w:rsidRPr="00025F57" w:rsidRDefault="00865AAD" w:rsidP="00E2099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25F57">
              <w:rPr>
                <w:rFonts w:ascii="Arial Narrow" w:hAnsi="Arial Narrow"/>
                <w:b/>
                <w:sz w:val="20"/>
                <w:szCs w:val="20"/>
              </w:rPr>
              <w:t>Categorías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 w:val="restart"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Foco</w:t>
            </w: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Resultados de la investigaciones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Métodos de investigación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Teorías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Prácticas o aplicaciones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 w:val="restart"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Objetivo</w:t>
            </w: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Integración: generalizaciones, conflictos o construcción de relaciones en el uso del lenguaje.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Identificación de temas centrales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 xml:space="preserve">Mirada crítica 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 w:val="restart"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Perspectiva</w:t>
            </w: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Adopción de una postura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Postura neutral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 w:val="restart"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Cobertura</w:t>
            </w: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Exhaustiva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Exhaustiva con selección de literatura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Representativa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 xml:space="preserve">Esencial 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 w:val="restart"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Organización</w:t>
            </w: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Histórica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Conceptual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Metodológica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 w:val="restart"/>
          </w:tcPr>
          <w:p w:rsidR="00673A8D" w:rsidRPr="00025F57" w:rsidRDefault="00673A8D" w:rsidP="00025F5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Destinatarios</w:t>
            </w: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Especialistas de la academia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Académicos en general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>Practicantes o políticos</w:t>
            </w:r>
          </w:p>
        </w:tc>
      </w:tr>
      <w:tr w:rsidR="00673A8D" w:rsidRPr="00025F57" w:rsidTr="00025F57">
        <w:trPr>
          <w:jc w:val="center"/>
        </w:trPr>
        <w:tc>
          <w:tcPr>
            <w:tcW w:w="1809" w:type="dxa"/>
            <w:vMerge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9" w:type="dxa"/>
          </w:tcPr>
          <w:p w:rsidR="00673A8D" w:rsidRPr="00025F57" w:rsidRDefault="00673A8D" w:rsidP="003832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/>
                <w:sz w:val="20"/>
                <w:szCs w:val="20"/>
              </w:rPr>
              <w:t xml:space="preserve">Público general </w:t>
            </w:r>
          </w:p>
        </w:tc>
      </w:tr>
    </w:tbl>
    <w:p w:rsidR="00865AAD" w:rsidRPr="00E20991" w:rsidRDefault="00865AAD" w:rsidP="00383288">
      <w:pPr>
        <w:jc w:val="both"/>
        <w:rPr>
          <w:rFonts w:ascii="Arial Narrow" w:hAnsi="Arial Narrow"/>
        </w:rPr>
      </w:pPr>
      <w:r w:rsidRPr="00E20991">
        <w:rPr>
          <w:rFonts w:ascii="Arial Narrow" w:hAnsi="Arial Narrow"/>
        </w:rPr>
        <w:t xml:space="preserve"> </w:t>
      </w:r>
    </w:p>
    <w:p w:rsidR="00383288" w:rsidRPr="00E20991" w:rsidRDefault="00383288" w:rsidP="00383288">
      <w:pPr>
        <w:jc w:val="both"/>
        <w:rPr>
          <w:rFonts w:ascii="Arial Narrow" w:hAnsi="Arial Narrow"/>
        </w:rPr>
      </w:pPr>
      <w:r w:rsidRPr="00E20991">
        <w:rPr>
          <w:rFonts w:ascii="Arial Narrow" w:hAnsi="Arial Narrow"/>
        </w:rPr>
        <w:t xml:space="preserve">Una segunda propuesta de elementos relevantes para realizar revisiones bibliográficas es la de </w:t>
      </w:r>
      <w:proofErr w:type="spellStart"/>
      <w:r w:rsidR="00865AAD" w:rsidRPr="00E20991">
        <w:rPr>
          <w:rFonts w:ascii="Arial Narrow" w:hAnsi="Arial Narrow"/>
        </w:rPr>
        <w:t>Hart</w:t>
      </w:r>
      <w:proofErr w:type="spellEnd"/>
      <w:r w:rsidR="00627412" w:rsidRPr="00E20991">
        <w:rPr>
          <w:rFonts w:ascii="Arial Narrow" w:hAnsi="Arial Narrow"/>
        </w:rPr>
        <w:t xml:space="preserve"> (1999</w:t>
      </w:r>
      <w:r w:rsidRPr="00E20991">
        <w:rPr>
          <w:rFonts w:ascii="Arial Narrow" w:hAnsi="Arial Narrow"/>
        </w:rPr>
        <w:t xml:space="preserve">, citado en </w:t>
      </w:r>
      <w:proofErr w:type="spellStart"/>
      <w:r w:rsidRPr="00E20991">
        <w:rPr>
          <w:rFonts w:ascii="Arial Narrow" w:hAnsi="Arial Narrow"/>
        </w:rPr>
        <w:t>Boote</w:t>
      </w:r>
      <w:proofErr w:type="spellEnd"/>
      <w:r w:rsidRPr="00E20991">
        <w:rPr>
          <w:rFonts w:ascii="Arial Narrow" w:hAnsi="Arial Narrow"/>
        </w:rPr>
        <w:t xml:space="preserve"> y </w:t>
      </w:r>
      <w:proofErr w:type="spellStart"/>
      <w:r w:rsidRPr="00E20991">
        <w:rPr>
          <w:rFonts w:ascii="Arial Narrow" w:hAnsi="Arial Narrow"/>
        </w:rPr>
        <w:t>Belie</w:t>
      </w:r>
      <w:proofErr w:type="spellEnd"/>
      <w:r w:rsidRPr="00E20991">
        <w:rPr>
          <w:rFonts w:ascii="Arial Narrow" w:hAnsi="Arial Narrow"/>
        </w:rPr>
        <w:t>, 2005</w:t>
      </w:r>
      <w:r w:rsidR="00627412" w:rsidRPr="00E20991">
        <w:rPr>
          <w:rFonts w:ascii="Arial Narrow" w:hAnsi="Arial Narrow"/>
        </w:rPr>
        <w:t>)</w:t>
      </w:r>
      <w:r w:rsidRPr="00E20991">
        <w:rPr>
          <w:rFonts w:ascii="Arial Narrow" w:hAnsi="Arial Narrow"/>
        </w:rPr>
        <w:t xml:space="preserve">, la cual es tomada por </w:t>
      </w:r>
      <w:proofErr w:type="spellStart"/>
      <w:r w:rsidRPr="00E20991">
        <w:rPr>
          <w:rFonts w:ascii="Arial Narrow" w:hAnsi="Arial Narrow"/>
        </w:rPr>
        <w:t>Boote</w:t>
      </w:r>
      <w:proofErr w:type="spellEnd"/>
      <w:r w:rsidRPr="00E20991">
        <w:rPr>
          <w:rFonts w:ascii="Arial Narrow" w:hAnsi="Arial Narrow"/>
        </w:rPr>
        <w:t xml:space="preserve"> y </w:t>
      </w:r>
      <w:proofErr w:type="spellStart"/>
      <w:r w:rsidRPr="00E20991">
        <w:rPr>
          <w:rFonts w:ascii="Arial Narrow" w:hAnsi="Arial Narrow"/>
        </w:rPr>
        <w:t>Belie</w:t>
      </w:r>
      <w:proofErr w:type="spellEnd"/>
      <w:r w:rsidRPr="00E20991">
        <w:rPr>
          <w:rFonts w:ascii="Arial Narrow" w:hAnsi="Arial Narrow"/>
        </w:rPr>
        <w:t xml:space="preserve"> (2005) y complementada con la propuesta de Cooper (1985), así como </w:t>
      </w:r>
      <w:r w:rsidR="00025F57">
        <w:rPr>
          <w:rFonts w:ascii="Arial Narrow" w:hAnsi="Arial Narrow"/>
        </w:rPr>
        <w:t xml:space="preserve">con </w:t>
      </w:r>
      <w:r w:rsidRPr="00E20991">
        <w:rPr>
          <w:rFonts w:ascii="Arial Narrow" w:hAnsi="Arial Narrow"/>
        </w:rPr>
        <w:t>aspectos que desde sus div</w:t>
      </w:r>
      <w:r w:rsidR="00025F57">
        <w:rPr>
          <w:rFonts w:ascii="Arial Narrow" w:hAnsi="Arial Narrow"/>
        </w:rPr>
        <w:t>ersas investigaciones se han eri</w:t>
      </w:r>
      <w:r w:rsidRPr="00E20991">
        <w:rPr>
          <w:rFonts w:ascii="Arial Narrow" w:hAnsi="Arial Narrow"/>
        </w:rPr>
        <w:t>gido como significativas de considerar</w:t>
      </w:r>
      <w:r w:rsidR="00025F57">
        <w:rPr>
          <w:rFonts w:ascii="Arial Narrow" w:hAnsi="Arial Narrow"/>
        </w:rPr>
        <w:t>.</w:t>
      </w:r>
    </w:p>
    <w:p w:rsidR="00630022" w:rsidRPr="00E20991" w:rsidRDefault="00627412" w:rsidP="00383288">
      <w:pPr>
        <w:jc w:val="both"/>
        <w:rPr>
          <w:rFonts w:ascii="Arial Narrow" w:hAnsi="Arial Narrow"/>
        </w:rPr>
      </w:pPr>
      <w:r w:rsidRPr="00E20991">
        <w:rPr>
          <w:rFonts w:ascii="Arial Narrow" w:hAnsi="Arial Narrow"/>
        </w:rPr>
        <w:t xml:space="preserve">Si bien </w:t>
      </w:r>
      <w:r w:rsidR="00383288" w:rsidRPr="00E20991">
        <w:rPr>
          <w:rFonts w:ascii="Arial Narrow" w:hAnsi="Arial Narrow"/>
        </w:rPr>
        <w:t>la</w:t>
      </w:r>
      <w:r w:rsidRPr="00E20991">
        <w:rPr>
          <w:rFonts w:ascii="Arial Narrow" w:hAnsi="Arial Narrow"/>
        </w:rPr>
        <w:t xml:space="preserve"> propuesta se hizo para l</w:t>
      </w:r>
      <w:r w:rsidR="00383288" w:rsidRPr="00E20991">
        <w:rPr>
          <w:rFonts w:ascii="Arial Narrow" w:hAnsi="Arial Narrow"/>
        </w:rPr>
        <w:t>a revisión de</w:t>
      </w:r>
      <w:r w:rsidRPr="00E20991">
        <w:rPr>
          <w:rFonts w:ascii="Arial Narrow" w:hAnsi="Arial Narrow"/>
        </w:rPr>
        <w:t xml:space="preserve"> tesis doctorales, los criterios también </w:t>
      </w:r>
      <w:r w:rsidR="00547A39" w:rsidRPr="00E20991">
        <w:rPr>
          <w:rFonts w:ascii="Arial Narrow" w:hAnsi="Arial Narrow"/>
        </w:rPr>
        <w:t xml:space="preserve">han sido </w:t>
      </w:r>
      <w:r w:rsidRPr="00E20991">
        <w:rPr>
          <w:rFonts w:ascii="Arial Narrow" w:hAnsi="Arial Narrow"/>
        </w:rPr>
        <w:t>aplic</w:t>
      </w:r>
      <w:r w:rsidR="00547A39" w:rsidRPr="00E20991">
        <w:rPr>
          <w:rFonts w:ascii="Arial Narrow" w:hAnsi="Arial Narrow"/>
        </w:rPr>
        <w:t>ados</w:t>
      </w:r>
      <w:r w:rsidRPr="00E20991">
        <w:rPr>
          <w:rFonts w:ascii="Arial Narrow" w:hAnsi="Arial Narrow"/>
        </w:rPr>
        <w:t xml:space="preserve"> a otro tipo de revisiones. Bajo este marco </w:t>
      </w:r>
      <w:proofErr w:type="spellStart"/>
      <w:r w:rsidRPr="00E20991">
        <w:rPr>
          <w:rFonts w:ascii="Arial Narrow" w:hAnsi="Arial Narrow"/>
        </w:rPr>
        <w:t>Boote</w:t>
      </w:r>
      <w:proofErr w:type="spellEnd"/>
      <w:r w:rsidRPr="00E20991">
        <w:rPr>
          <w:rFonts w:ascii="Arial Narrow" w:hAnsi="Arial Narrow"/>
        </w:rPr>
        <w:t xml:space="preserve"> y </w:t>
      </w:r>
      <w:proofErr w:type="spellStart"/>
      <w:r w:rsidRPr="00E20991">
        <w:rPr>
          <w:rFonts w:ascii="Arial Narrow" w:hAnsi="Arial Narrow"/>
        </w:rPr>
        <w:t>Belie</w:t>
      </w:r>
      <w:proofErr w:type="spellEnd"/>
      <w:r w:rsidRPr="00E20991">
        <w:rPr>
          <w:rFonts w:ascii="Arial Narrow" w:hAnsi="Arial Narrow"/>
        </w:rPr>
        <w:t xml:space="preserve"> (2004, citados en </w:t>
      </w:r>
      <w:proofErr w:type="spellStart"/>
      <w:r w:rsidRPr="00E20991">
        <w:rPr>
          <w:rFonts w:ascii="Arial Narrow" w:hAnsi="Arial Narrow"/>
        </w:rPr>
        <w:t>Boote</w:t>
      </w:r>
      <w:proofErr w:type="spellEnd"/>
      <w:r w:rsidRPr="00E20991">
        <w:rPr>
          <w:rFonts w:ascii="Arial Narrow" w:hAnsi="Arial Narrow"/>
        </w:rPr>
        <w:t xml:space="preserve"> y </w:t>
      </w:r>
      <w:proofErr w:type="spellStart"/>
      <w:r w:rsidRPr="00E20991">
        <w:rPr>
          <w:rFonts w:ascii="Arial Narrow" w:hAnsi="Arial Narrow"/>
        </w:rPr>
        <w:t>Beile</w:t>
      </w:r>
      <w:proofErr w:type="spellEnd"/>
      <w:r w:rsidRPr="00E20991">
        <w:rPr>
          <w:rFonts w:ascii="Arial Narrow" w:hAnsi="Arial Narrow"/>
        </w:rPr>
        <w:t xml:space="preserve">, 2005) </w:t>
      </w:r>
      <w:r w:rsidR="00383288" w:rsidRPr="00E20991">
        <w:rPr>
          <w:rFonts w:ascii="Arial Narrow" w:hAnsi="Arial Narrow"/>
        </w:rPr>
        <w:t>elaboran</w:t>
      </w:r>
      <w:r w:rsidRPr="00E20991">
        <w:rPr>
          <w:rFonts w:ascii="Arial Narrow" w:hAnsi="Arial Narrow"/>
        </w:rPr>
        <w:t xml:space="preserve"> una rúbrica </w:t>
      </w:r>
      <w:r w:rsidR="00025F57">
        <w:rPr>
          <w:rFonts w:ascii="Arial Narrow" w:hAnsi="Arial Narrow"/>
        </w:rPr>
        <w:t>(ver tabla 2</w:t>
      </w:r>
      <w:r w:rsidRPr="00E20991">
        <w:rPr>
          <w:rFonts w:ascii="Arial Narrow" w:hAnsi="Arial Narrow"/>
        </w:rPr>
        <w:t>) para analizar y determinar la calidad de las revisiones bi</w:t>
      </w:r>
      <w:r w:rsidR="00383288" w:rsidRPr="00E20991">
        <w:rPr>
          <w:rFonts w:ascii="Arial Narrow" w:hAnsi="Arial Narrow"/>
        </w:rPr>
        <w:t>b</w:t>
      </w:r>
      <w:r w:rsidRPr="00E20991">
        <w:rPr>
          <w:rFonts w:ascii="Arial Narrow" w:hAnsi="Arial Narrow"/>
        </w:rPr>
        <w:t xml:space="preserve">liográficas, siendo útil –por </w:t>
      </w:r>
      <w:r w:rsidRPr="00E20991">
        <w:rPr>
          <w:rFonts w:ascii="Arial Narrow" w:hAnsi="Arial Narrow"/>
        </w:rPr>
        <w:lastRenderedPageBreak/>
        <w:t>tanto –para determinar el proceso de sis</w:t>
      </w:r>
      <w:r w:rsidR="00547A39" w:rsidRPr="00E20991">
        <w:rPr>
          <w:rFonts w:ascii="Arial Narrow" w:hAnsi="Arial Narrow"/>
        </w:rPr>
        <w:t>tematización de las revisiones,</w:t>
      </w:r>
      <w:r w:rsidRPr="00E20991">
        <w:rPr>
          <w:rFonts w:ascii="Arial Narrow" w:hAnsi="Arial Narrow"/>
        </w:rPr>
        <w:t xml:space="preserve"> los aspectos que so</w:t>
      </w:r>
      <w:r w:rsidR="00547A39" w:rsidRPr="00E20991">
        <w:rPr>
          <w:rFonts w:ascii="Arial Narrow" w:hAnsi="Arial Narrow"/>
        </w:rPr>
        <w:t xml:space="preserve">n imprescindibles de considerar y los rasgos que debe adquirir cada elemento en </w:t>
      </w:r>
      <w:r w:rsidR="00383288" w:rsidRPr="00E20991">
        <w:rPr>
          <w:rFonts w:ascii="Arial Narrow" w:hAnsi="Arial Narrow"/>
        </w:rPr>
        <w:t xml:space="preserve">dicho </w:t>
      </w:r>
      <w:r w:rsidR="00547A39" w:rsidRPr="00E20991">
        <w:rPr>
          <w:rFonts w:ascii="Arial Narrow" w:hAnsi="Arial Narrow"/>
        </w:rPr>
        <w:t>proceso.</w:t>
      </w:r>
      <w:r w:rsidRPr="00E20991">
        <w:rPr>
          <w:rFonts w:ascii="Arial Narrow" w:hAnsi="Arial Narrow"/>
        </w:rPr>
        <w:t xml:space="preserve"> </w:t>
      </w:r>
    </w:p>
    <w:p w:rsidR="00E20991" w:rsidRDefault="00627412" w:rsidP="00E20991">
      <w:pPr>
        <w:jc w:val="both"/>
        <w:rPr>
          <w:rFonts w:ascii="Arial Narrow" w:hAnsi="Arial Narrow"/>
        </w:rPr>
      </w:pPr>
      <w:r w:rsidRPr="00E20991">
        <w:rPr>
          <w:rFonts w:ascii="Arial Narrow" w:hAnsi="Arial Narrow"/>
        </w:rPr>
        <w:t>La rúbrica se compone de 12 criterios, organizados en cinco categorías. La primera categoría</w:t>
      </w:r>
      <w:r w:rsidR="002263E1" w:rsidRPr="00E20991">
        <w:rPr>
          <w:rFonts w:ascii="Arial Narrow" w:hAnsi="Arial Narrow"/>
        </w:rPr>
        <w:t xml:space="preserve">, </w:t>
      </w:r>
      <w:r w:rsidR="002263E1" w:rsidRPr="00E20991">
        <w:rPr>
          <w:rFonts w:ascii="Arial Narrow" w:hAnsi="Arial Narrow"/>
          <w:i/>
        </w:rPr>
        <w:t>Cobertura</w:t>
      </w:r>
      <w:r w:rsidR="002263E1" w:rsidRPr="00E20991">
        <w:rPr>
          <w:rFonts w:ascii="Arial Narrow" w:hAnsi="Arial Narrow"/>
        </w:rPr>
        <w:t xml:space="preserve">, </w:t>
      </w:r>
      <w:r w:rsidRPr="00E20991">
        <w:rPr>
          <w:rFonts w:ascii="Arial Narrow" w:hAnsi="Arial Narrow"/>
        </w:rPr>
        <w:t>es tomada de la propuesta de Cooper (1985</w:t>
      </w:r>
      <w:r w:rsidR="002263E1" w:rsidRPr="00E20991">
        <w:rPr>
          <w:rFonts w:ascii="Arial Narrow" w:hAnsi="Arial Narrow"/>
        </w:rPr>
        <w:t xml:space="preserve">, citado en </w:t>
      </w:r>
      <w:proofErr w:type="spellStart"/>
      <w:r w:rsidR="002263E1" w:rsidRPr="00E20991">
        <w:rPr>
          <w:rFonts w:ascii="Arial Narrow" w:hAnsi="Arial Narrow"/>
        </w:rPr>
        <w:t>Boote</w:t>
      </w:r>
      <w:proofErr w:type="spellEnd"/>
      <w:r w:rsidR="002263E1" w:rsidRPr="00E20991">
        <w:rPr>
          <w:rFonts w:ascii="Arial Narrow" w:hAnsi="Arial Narrow"/>
        </w:rPr>
        <w:t xml:space="preserve"> y </w:t>
      </w:r>
      <w:proofErr w:type="spellStart"/>
      <w:r w:rsidR="002263E1" w:rsidRPr="00E20991">
        <w:rPr>
          <w:rFonts w:ascii="Arial Narrow" w:hAnsi="Arial Narrow"/>
        </w:rPr>
        <w:t>Beile</w:t>
      </w:r>
      <w:proofErr w:type="spellEnd"/>
      <w:r w:rsidR="002263E1" w:rsidRPr="00E20991">
        <w:rPr>
          <w:rFonts w:ascii="Arial Narrow" w:hAnsi="Arial Narrow"/>
        </w:rPr>
        <w:t>, 2005</w:t>
      </w:r>
      <w:r w:rsidRPr="00E20991">
        <w:rPr>
          <w:rFonts w:ascii="Arial Narrow" w:hAnsi="Arial Narrow"/>
        </w:rPr>
        <w:t>) y tiene como propósito determinar cuán bien el/la autor/a argumenta</w:t>
      </w:r>
      <w:r w:rsidR="002263E1" w:rsidRPr="00E20991">
        <w:rPr>
          <w:rFonts w:ascii="Arial Narrow" w:hAnsi="Arial Narrow"/>
        </w:rPr>
        <w:t xml:space="preserve"> los criterios de inclusión y exclusión seleccionados. La segunda categoría, </w:t>
      </w:r>
      <w:r w:rsidR="002263E1" w:rsidRPr="00E20991">
        <w:rPr>
          <w:rFonts w:ascii="Arial Narrow" w:hAnsi="Arial Narrow"/>
          <w:i/>
        </w:rPr>
        <w:t>Síntesis</w:t>
      </w:r>
      <w:r w:rsidR="002263E1" w:rsidRPr="00E20991">
        <w:rPr>
          <w:rFonts w:ascii="Arial Narrow" w:hAnsi="Arial Narrow"/>
        </w:rPr>
        <w:t xml:space="preserve">, </w:t>
      </w:r>
      <w:r w:rsidR="00547A39" w:rsidRPr="00E20991">
        <w:rPr>
          <w:rFonts w:ascii="Arial Narrow" w:hAnsi="Arial Narrow"/>
        </w:rPr>
        <w:t>tiene como propósito que la revisión refleje una síntesis de la literatura, informando de una nueva perspectiva respecto a la revisión e indicando lo que se ha abordado y los aspectos pendientes por estudiar y profundizar (</w:t>
      </w:r>
      <w:proofErr w:type="spellStart"/>
      <w:r w:rsidR="00547A39" w:rsidRPr="00E20991">
        <w:rPr>
          <w:rFonts w:ascii="Arial Narrow" w:hAnsi="Arial Narrow"/>
        </w:rPr>
        <w:t>Lather</w:t>
      </w:r>
      <w:proofErr w:type="spellEnd"/>
      <w:r w:rsidR="00547A39" w:rsidRPr="00E20991">
        <w:rPr>
          <w:rFonts w:ascii="Arial Narrow" w:hAnsi="Arial Narrow"/>
        </w:rPr>
        <w:t xml:space="preserve">, 1999 y Strike y </w:t>
      </w:r>
      <w:proofErr w:type="spellStart"/>
      <w:r w:rsidR="00547A39" w:rsidRPr="00E20991">
        <w:rPr>
          <w:rFonts w:ascii="Arial Narrow" w:hAnsi="Arial Narrow"/>
        </w:rPr>
        <w:t>Posner</w:t>
      </w:r>
      <w:proofErr w:type="spellEnd"/>
      <w:r w:rsidR="00547A39" w:rsidRPr="00E20991">
        <w:rPr>
          <w:rFonts w:ascii="Arial Narrow" w:hAnsi="Arial Narrow"/>
        </w:rPr>
        <w:t xml:space="preserve">, 1983, citados en </w:t>
      </w:r>
      <w:proofErr w:type="spellStart"/>
      <w:r w:rsidR="00547A39" w:rsidRPr="00E20991">
        <w:rPr>
          <w:rFonts w:ascii="Arial Narrow" w:hAnsi="Arial Narrow"/>
        </w:rPr>
        <w:t>Boote</w:t>
      </w:r>
      <w:proofErr w:type="spellEnd"/>
      <w:r w:rsidR="00547A39" w:rsidRPr="00E20991">
        <w:rPr>
          <w:rFonts w:ascii="Arial Narrow" w:hAnsi="Arial Narrow"/>
        </w:rPr>
        <w:t xml:space="preserve"> y </w:t>
      </w:r>
      <w:proofErr w:type="spellStart"/>
      <w:r w:rsidR="00547A39" w:rsidRPr="00E20991">
        <w:rPr>
          <w:rFonts w:ascii="Arial Narrow" w:hAnsi="Arial Narrow"/>
        </w:rPr>
        <w:t>Belie</w:t>
      </w:r>
      <w:proofErr w:type="spellEnd"/>
      <w:r w:rsidR="00547A39" w:rsidRPr="00E20991">
        <w:rPr>
          <w:rFonts w:ascii="Arial Narrow" w:hAnsi="Arial Narrow"/>
        </w:rPr>
        <w:t xml:space="preserve">, 2005). La categoría </w:t>
      </w:r>
      <w:r w:rsidR="00547A39" w:rsidRPr="00E20991">
        <w:rPr>
          <w:rFonts w:ascii="Arial Narrow" w:hAnsi="Arial Narrow"/>
          <w:i/>
        </w:rPr>
        <w:t xml:space="preserve">Metodología </w:t>
      </w:r>
      <w:r w:rsidR="00547A39" w:rsidRPr="00E20991">
        <w:rPr>
          <w:rFonts w:ascii="Arial Narrow" w:hAnsi="Arial Narrow"/>
        </w:rPr>
        <w:t xml:space="preserve">tiene como propósito que la revisión de cuenta de las principales metodologías y técnicas abordadas bajo la temática. En el caso de la cuarta categoría, Relevancia, el objetivo es discutir las consecuencias de la revisión de la temática para la práctica y la academia, aunque –en algunos casos –las revisiones se enfocan más en un tipo de discusión que en otra, pero bajo ningún caso suprimen alguna. La última categoría es </w:t>
      </w:r>
      <w:r w:rsidR="00E20991">
        <w:rPr>
          <w:rFonts w:ascii="Arial Narrow" w:hAnsi="Arial Narrow"/>
          <w:i/>
        </w:rPr>
        <w:t>Retór</w:t>
      </w:r>
      <w:r w:rsidR="00547A39" w:rsidRPr="00E20991">
        <w:rPr>
          <w:rFonts w:ascii="Arial Narrow" w:hAnsi="Arial Narrow"/>
          <w:i/>
        </w:rPr>
        <w:t>ica</w:t>
      </w:r>
      <w:r w:rsidR="004A57A8" w:rsidRPr="00E20991">
        <w:rPr>
          <w:rFonts w:ascii="Arial Narrow" w:hAnsi="Arial Narrow"/>
          <w:i/>
        </w:rPr>
        <w:t>,</w:t>
      </w:r>
      <w:r w:rsidR="004A57A8" w:rsidRPr="00E20991">
        <w:rPr>
          <w:rFonts w:ascii="Arial Narrow" w:hAnsi="Arial Narrow"/>
        </w:rPr>
        <w:t xml:space="preserve"> enfatiza la necesidad de que el texto exhiba una escritura coherente y consistente con la estructura que se suele proponer bajo el tipo de revisión</w:t>
      </w:r>
      <w:r w:rsidR="00383288" w:rsidRPr="00E20991">
        <w:rPr>
          <w:rFonts w:ascii="Arial Narrow" w:hAnsi="Arial Narrow"/>
        </w:rPr>
        <w:t xml:space="preserve"> </w:t>
      </w:r>
      <w:r w:rsidR="004A57A8" w:rsidRPr="00E20991">
        <w:rPr>
          <w:rFonts w:ascii="Arial Narrow" w:hAnsi="Arial Narrow"/>
        </w:rPr>
        <w:t xml:space="preserve">que se realiza. </w:t>
      </w:r>
    </w:p>
    <w:p w:rsidR="00E20991" w:rsidRDefault="00E20991" w:rsidP="00E20991">
      <w:pPr>
        <w:jc w:val="center"/>
        <w:rPr>
          <w:rFonts w:ascii="Arial Narrow" w:hAnsi="Arial Narrow"/>
        </w:rPr>
      </w:pPr>
      <w:r w:rsidRPr="00E20991">
        <w:rPr>
          <w:rFonts w:ascii="Arial Narrow" w:hAnsi="Arial Narrow"/>
          <w:b/>
        </w:rPr>
        <w:t>Tabla 2</w:t>
      </w:r>
      <w:r w:rsidRPr="00E20991">
        <w:rPr>
          <w:rFonts w:ascii="Arial Narrow" w:hAnsi="Arial Narrow"/>
          <w:b/>
        </w:rPr>
        <w:t xml:space="preserve">. </w:t>
      </w:r>
      <w:r w:rsidRPr="00E20991">
        <w:rPr>
          <w:rFonts w:ascii="Arial Narrow" w:hAnsi="Arial Narrow"/>
        </w:rPr>
        <w:t>Categorías y criterios para evaluar textos de revisión bibliográfica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520"/>
        <w:gridCol w:w="2882"/>
      </w:tblGrid>
      <w:tr w:rsidR="00E20991" w:rsidRPr="00025F57" w:rsidTr="00E20991">
        <w:trPr>
          <w:jc w:val="center"/>
        </w:trPr>
        <w:tc>
          <w:tcPr>
            <w:tcW w:w="1242" w:type="dxa"/>
          </w:tcPr>
          <w:p w:rsidR="00E20991" w:rsidRPr="00025F57" w:rsidRDefault="00E20991" w:rsidP="00E20991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b/>
                <w:sz w:val="20"/>
                <w:szCs w:val="20"/>
              </w:rPr>
              <w:t>Categoría</w:t>
            </w: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b/>
                <w:sz w:val="20"/>
                <w:szCs w:val="20"/>
              </w:rPr>
              <w:t>Criterio</w:t>
            </w:r>
          </w:p>
        </w:tc>
        <w:tc>
          <w:tcPr>
            <w:tcW w:w="2882" w:type="dxa"/>
          </w:tcPr>
          <w:p w:rsidR="00E20991" w:rsidRPr="00025F57" w:rsidRDefault="00E20991" w:rsidP="00E2099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25F57">
              <w:rPr>
                <w:rFonts w:ascii="Arial Narrow" w:hAnsi="Arial Narrow"/>
                <w:b/>
                <w:sz w:val="20"/>
                <w:szCs w:val="20"/>
              </w:rPr>
              <w:t>Nivel deseable</w:t>
            </w: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Cobertura</w:t>
            </w: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Indicar y argumentar los criterios de inclusión y exclusión para la revisión</w:t>
            </w:r>
          </w:p>
        </w:tc>
        <w:tc>
          <w:tcPr>
            <w:tcW w:w="2882" w:type="dxa"/>
            <w:vMerge w:val="restart"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Estos criterio han alcanzado su máximo desarrollo cuando, en su conjunto logran introducir/proponer nuevos métodos que permitan afrontar un problema de investigación con las metodologías que predominan en la literatura revisada.</w:t>
            </w: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 w:val="restart"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 xml:space="preserve">Síntesis </w:t>
            </w: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Indicar qué es lo que se ha hecho en el área revisada y qué falta por hacer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Situar el tema de revisión dentro de un campo académico más amplio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 xml:space="preserve">Situar la investigación en el contexto histórico del tema de revisión 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Utiliza y mejora el lenguaje técnico referente al tema de revisión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Articulo diferentes variables y fenómenos relevantes para el tema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Sintetiza y favorece una nueva forma de entender la temática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 w:val="restart"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Metodología</w:t>
            </w: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Identifica las principales metodologías y técnicas que se utilizan para tratar la temática, estableciendo un diálogo entre sus ventajas y desventajas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Relaciona ideas y teorías en el campo de la investigación metodológica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 w:val="restart"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Relevancia</w:t>
            </w: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Racionaliza la relevancia práctica del problema investigado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  <w:vMerge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Racionaliza la importancia académica de problema investigado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0991" w:rsidRPr="00025F57" w:rsidTr="00E20991">
        <w:trPr>
          <w:jc w:val="center"/>
        </w:trPr>
        <w:tc>
          <w:tcPr>
            <w:tcW w:w="1242" w:type="dxa"/>
          </w:tcPr>
          <w:p w:rsidR="00E20991" w:rsidRPr="00025F57" w:rsidRDefault="00E20991" w:rsidP="00E20991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>Retórica</w:t>
            </w:r>
          </w:p>
        </w:tc>
        <w:tc>
          <w:tcPr>
            <w:tcW w:w="4520" w:type="dxa"/>
          </w:tcPr>
          <w:p w:rsidR="00E20991" w:rsidRPr="00025F57" w:rsidRDefault="00E20991" w:rsidP="00E20991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25F57">
              <w:rPr>
                <w:rFonts w:ascii="Arial Narrow" w:hAnsi="Arial Narrow" w:cs="Times New Roman"/>
                <w:sz w:val="20"/>
                <w:szCs w:val="20"/>
              </w:rPr>
              <w:t xml:space="preserve">Escritura coherente y estructura clara, la que se apoya en la literatura revisada. </w:t>
            </w:r>
          </w:p>
        </w:tc>
        <w:tc>
          <w:tcPr>
            <w:tcW w:w="2882" w:type="dxa"/>
            <w:vMerge/>
          </w:tcPr>
          <w:p w:rsidR="00E20991" w:rsidRPr="00025F57" w:rsidRDefault="00E20991" w:rsidP="00E2099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025F57" w:rsidRDefault="00025F57" w:rsidP="00E20991">
      <w:pPr>
        <w:jc w:val="both"/>
        <w:rPr>
          <w:rFonts w:ascii="Arial Narrow" w:hAnsi="Arial Narrow"/>
          <w:b/>
        </w:rPr>
      </w:pPr>
    </w:p>
    <w:p w:rsidR="00383288" w:rsidRPr="00E20991" w:rsidRDefault="00E20991" w:rsidP="00E20991">
      <w:pPr>
        <w:jc w:val="both"/>
        <w:rPr>
          <w:rFonts w:ascii="Arial Narrow" w:hAnsi="Arial Narrow"/>
          <w:b/>
        </w:rPr>
      </w:pPr>
      <w:r w:rsidRPr="00E20991">
        <w:rPr>
          <w:rFonts w:ascii="Arial Narrow" w:hAnsi="Arial Narrow"/>
          <w:b/>
        </w:rPr>
        <w:t>R</w:t>
      </w:r>
      <w:r w:rsidR="00383288" w:rsidRPr="00E20991">
        <w:rPr>
          <w:rFonts w:ascii="Arial Narrow" w:hAnsi="Arial Narrow"/>
          <w:b/>
        </w:rPr>
        <w:t>eferencias bibliográficas</w:t>
      </w:r>
    </w:p>
    <w:p w:rsidR="00383288" w:rsidRPr="00E20991" w:rsidRDefault="00383288" w:rsidP="00E20991">
      <w:pPr>
        <w:jc w:val="both"/>
        <w:rPr>
          <w:rFonts w:ascii="Arial Narrow" w:hAnsi="Arial Narrow"/>
          <w:lang w:val="en-US"/>
        </w:rPr>
      </w:pPr>
      <w:proofErr w:type="spellStart"/>
      <w:r w:rsidRPr="00E20991">
        <w:rPr>
          <w:rFonts w:ascii="Arial Narrow" w:hAnsi="Arial Narrow"/>
        </w:rPr>
        <w:t>Boote</w:t>
      </w:r>
      <w:proofErr w:type="spellEnd"/>
      <w:r w:rsidRPr="00E20991">
        <w:rPr>
          <w:rFonts w:ascii="Arial Narrow" w:hAnsi="Arial Narrow"/>
        </w:rPr>
        <w:t xml:space="preserve">, D. y </w:t>
      </w:r>
      <w:proofErr w:type="spellStart"/>
      <w:r w:rsidRPr="00E20991">
        <w:rPr>
          <w:rFonts w:ascii="Arial Narrow" w:hAnsi="Arial Narrow"/>
        </w:rPr>
        <w:t>Belie</w:t>
      </w:r>
      <w:proofErr w:type="spellEnd"/>
      <w:r w:rsidRPr="00E20991">
        <w:rPr>
          <w:rFonts w:ascii="Arial Narrow" w:hAnsi="Arial Narrow"/>
        </w:rPr>
        <w:t xml:space="preserve">, P. (2005). </w:t>
      </w:r>
      <w:r w:rsidRPr="00E20991">
        <w:rPr>
          <w:rFonts w:ascii="Arial Narrow" w:hAnsi="Arial Narrow"/>
          <w:lang w:val="en-US"/>
        </w:rPr>
        <w:t xml:space="preserve">Scholars before researchers: On the centrality of the dissertation literature review in research preparation. </w:t>
      </w:r>
      <w:proofErr w:type="gramStart"/>
      <w:r w:rsidRPr="00E20991">
        <w:rPr>
          <w:rFonts w:ascii="Arial Narrow" w:hAnsi="Arial Narrow"/>
          <w:lang w:val="en-US"/>
        </w:rPr>
        <w:t>Educational researcher, 34 (6), 3-15.</w:t>
      </w:r>
      <w:proofErr w:type="gramEnd"/>
    </w:p>
    <w:p w:rsidR="00E20991" w:rsidRPr="00E20991" w:rsidRDefault="00E20991" w:rsidP="00E20991">
      <w:pPr>
        <w:jc w:val="both"/>
        <w:rPr>
          <w:rFonts w:ascii="Arial Narrow" w:hAnsi="Arial Narrow"/>
          <w:lang w:val="en-US"/>
        </w:rPr>
      </w:pPr>
      <w:r w:rsidRPr="00E20991">
        <w:rPr>
          <w:rFonts w:ascii="Arial Narrow" w:hAnsi="Arial Narrow"/>
          <w:lang w:val="en-US"/>
        </w:rPr>
        <w:t xml:space="preserve">Randolph, J. (2009). </w:t>
      </w:r>
      <w:proofErr w:type="gramStart"/>
      <w:r w:rsidRPr="00E20991">
        <w:rPr>
          <w:rFonts w:ascii="Arial Narrow" w:hAnsi="Arial Narrow"/>
          <w:lang w:val="en-US"/>
        </w:rPr>
        <w:t>A guide to writing the dissertation literature review.</w:t>
      </w:r>
      <w:proofErr w:type="gramEnd"/>
      <w:r w:rsidRPr="00E20991">
        <w:rPr>
          <w:rFonts w:ascii="Arial Narrow" w:hAnsi="Arial Narrow"/>
          <w:lang w:val="en-US"/>
        </w:rPr>
        <w:t xml:space="preserve"> </w:t>
      </w:r>
      <w:proofErr w:type="gramStart"/>
      <w:r w:rsidRPr="00E20991">
        <w:rPr>
          <w:rFonts w:ascii="Arial Narrow" w:hAnsi="Arial Narrow"/>
          <w:lang w:val="en-US"/>
        </w:rPr>
        <w:t>Practical assessment, research y evaluation, 14 (13).</w:t>
      </w:r>
      <w:proofErr w:type="gramEnd"/>
      <w:r w:rsidRPr="00E20991">
        <w:rPr>
          <w:rFonts w:ascii="Arial Narrow" w:hAnsi="Arial Narrow"/>
          <w:lang w:val="en-US"/>
        </w:rPr>
        <w:t xml:space="preserve"> </w:t>
      </w:r>
      <w:proofErr w:type="spellStart"/>
      <w:proofErr w:type="gramStart"/>
      <w:r w:rsidRPr="00E20991">
        <w:rPr>
          <w:rFonts w:ascii="Arial Narrow" w:hAnsi="Arial Narrow"/>
          <w:lang w:val="en-US"/>
        </w:rPr>
        <w:t>Disponible</w:t>
      </w:r>
      <w:proofErr w:type="spellEnd"/>
      <w:r w:rsidRPr="00E20991">
        <w:rPr>
          <w:rFonts w:ascii="Arial Narrow" w:hAnsi="Arial Narrow"/>
          <w:lang w:val="en-US"/>
        </w:rPr>
        <w:t xml:space="preserve"> en </w:t>
      </w:r>
      <w:r w:rsidRPr="00E20991">
        <w:rPr>
          <w:rFonts w:ascii="Arial Narrow" w:hAnsi="Arial Narrow"/>
          <w:lang w:val="en-US"/>
        </w:rPr>
        <w:t>http://pareonline.net/getvn.asp?v=14&amp;n=13.</w:t>
      </w:r>
      <w:proofErr w:type="gramEnd"/>
    </w:p>
    <w:p w:rsidR="00383288" w:rsidRPr="00E20991" w:rsidRDefault="00383288" w:rsidP="00383288">
      <w:pPr>
        <w:rPr>
          <w:rFonts w:ascii="Arial Narrow" w:hAnsi="Arial Narrow"/>
          <w:lang w:val="en-US"/>
        </w:rPr>
      </w:pPr>
    </w:p>
    <w:sectPr w:rsidR="00383288" w:rsidRPr="00E20991" w:rsidSect="0038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74A" w:rsidRDefault="0085274A" w:rsidP="004A57A8">
      <w:pPr>
        <w:spacing w:after="0" w:line="240" w:lineRule="auto"/>
      </w:pPr>
      <w:r>
        <w:separator/>
      </w:r>
    </w:p>
  </w:endnote>
  <w:endnote w:type="continuationSeparator" w:id="0">
    <w:p w:rsidR="0085274A" w:rsidRDefault="0085274A" w:rsidP="004A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74A" w:rsidRDefault="0085274A" w:rsidP="004A57A8">
      <w:pPr>
        <w:spacing w:after="0" w:line="240" w:lineRule="auto"/>
      </w:pPr>
      <w:r>
        <w:separator/>
      </w:r>
    </w:p>
  </w:footnote>
  <w:footnote w:type="continuationSeparator" w:id="0">
    <w:p w:rsidR="0085274A" w:rsidRDefault="0085274A" w:rsidP="004A5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97"/>
    <w:rsid w:val="00025F57"/>
    <w:rsid w:val="002263E1"/>
    <w:rsid w:val="00383288"/>
    <w:rsid w:val="004A57A8"/>
    <w:rsid w:val="00547A39"/>
    <w:rsid w:val="00586DF4"/>
    <w:rsid w:val="00627412"/>
    <w:rsid w:val="00630022"/>
    <w:rsid w:val="00673A8D"/>
    <w:rsid w:val="00841E97"/>
    <w:rsid w:val="0085274A"/>
    <w:rsid w:val="00865AAD"/>
    <w:rsid w:val="00873B00"/>
    <w:rsid w:val="00B82214"/>
    <w:rsid w:val="00D16877"/>
    <w:rsid w:val="00E2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5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A8"/>
  </w:style>
  <w:style w:type="paragraph" w:styleId="Piedepgina">
    <w:name w:val="footer"/>
    <w:basedOn w:val="Normal"/>
    <w:link w:val="PiedepginaCar"/>
    <w:uiPriority w:val="99"/>
    <w:unhideWhenUsed/>
    <w:rsid w:val="004A5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5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A8"/>
  </w:style>
  <w:style w:type="paragraph" w:styleId="Piedepgina">
    <w:name w:val="footer"/>
    <w:basedOn w:val="Normal"/>
    <w:link w:val="PiedepginaCar"/>
    <w:uiPriority w:val="99"/>
    <w:unhideWhenUsed/>
    <w:rsid w:val="004A5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CC688-A750-449A-8E45-9A71E493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Arauco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Gabriela Morales Malverde</dc:creator>
  <cp:lastModifiedBy>María Gabriela Morales Malverde</cp:lastModifiedBy>
  <cp:revision>2</cp:revision>
  <dcterms:created xsi:type="dcterms:W3CDTF">2016-05-20T16:20:00Z</dcterms:created>
  <dcterms:modified xsi:type="dcterms:W3CDTF">2016-05-20T16:20:00Z</dcterms:modified>
</cp:coreProperties>
</file>