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Arial" w:cs="Arial" w:eastAsia="Arial" w:hAnsi="Arial"/>
          <w:b/>
          <w:bCs/>
          <w:color w:val="000000"/>
          <w:sz w:val="40"/>
          <w:szCs w:val="40"/>
        </w:rPr>
        <w:t xml:space="preserve">Job Relevance Scoring Rule Engine</w:t>
      </w:r>
    </w:p>
    <w:p>
      <w:pPr>
        <w:spacing w:after="300" w:before="0"/>
      </w:pPr>
      <w:r>
        <w:rPr>
          <w:rFonts w:ascii="Arial" w:cs="Arial" w:eastAsia="Arial" w:hAnsi="Arial"/>
          <w:i/>
          <w:iCs/>
          <w:color w:val="555555"/>
          <w:sz w:val="22"/>
          <w:szCs w:val="22"/>
        </w:rPr>
        <w:t xml:space="preserve">Personal AI Job Assistant — Scoring Framework</w:t>
      </w:r>
    </w:p>
    <w:p>
      <w:pPr>
        <w:spacing w:after="120" w:before="0"/>
      </w:pPr>
      <w:r>
        <w:rPr>
          <w:rFonts w:ascii="Arial" w:cs="Arial" w:eastAsia="Arial" w:hAnsi="Arial"/>
          <w:color w:val="333333"/>
          <w:sz w:val="20"/>
          <w:szCs w:val="20"/>
        </w:rPr>
        <w:t xml:space="preserve">Score each job against the candidate profile across 12 dimensions. Each dimension returns a score from 0 to 100. Multiply each score by its weight and sum them to get the final score out of 100.</w:t>
      </w:r>
    </w:p>
    <w:p>
      <w:pPr>
        <w:pBdr>
          <w:bottom w:val="single" w:color="DDDDDD" w:sz="4" w:space="1"/>
        </w:pBdr>
        <w:spacing w:after="100" w:before="100"/>
      </w:pPr>
    </w:p>
    <w:p>
      <w:pPr>
        <w:pStyle w:val="Heading2"/>
        <w:spacing w:after="100" w:before="300"/>
      </w:pPr>
      <w:r>
        <w:rPr>
          <w:rFonts w:ascii="Arial" w:cs="Arial" w:eastAsia="Arial" w:hAnsi="Arial"/>
          <w:b/>
          <w:bCs/>
          <w:color w:val="111111"/>
          <w:sz w:val="26"/>
          <w:szCs w:val="26"/>
        </w:rPr>
        <w:t xml:space="preserve">Scoring Dimensions</w:t>
      </w:r>
    </w:p>
    <w:p>
      <w:pPr>
        <w:spacing w:after="60" w:before="240"/>
      </w:pPr>
      <w:r>
        <w:rPr>
          <w:rFonts w:ascii="Arial" w:cs="Arial" w:eastAsia="Arial" w:hAnsi="Arial"/>
          <w:b/>
          <w:bCs/>
          <w:color w:val="111111"/>
          <w:sz w:val="24"/>
          <w:szCs w:val="24"/>
        </w:rPr>
        <w:t xml:space="preserve">1. Keyword Match</w:t>
      </w:r>
      <w:r>
        <w:rPr>
          <w:rFonts w:ascii="Arial" w:cs="Arial" w:eastAsia="Arial" w:hAnsi="Arial"/>
          <w:b w:val="false"/>
          <w:bCs w:val="false"/>
          <w:color w:val="555555"/>
          <w:sz w:val="22"/>
          <w:szCs w:val="22"/>
        </w:rPr>
        <w:t xml:space="preserve">  (14%)</w:t>
      </w:r>
    </w:p>
    <w:p>
      <w:pPr>
        <w:spacing w:after="160" w:before="0"/>
        <w:ind w:left="360"/>
      </w:pPr>
      <w:r>
        <w:rPr>
          <w:rFonts w:ascii="Arial" w:cs="Arial" w:eastAsia="Arial" w:hAnsi="Arial"/>
          <w:color w:val="333333"/>
          <w:sz w:val="20"/>
          <w:szCs w:val="20"/>
        </w:rPr>
        <w:t xml:space="preserve">Direct word-for-word overlap between the candidate's resume and the job description. Match on skills, tools, technologies, role titles, and domain terms. Score based on the percentage of JD keywords found in the resume. This is the base layer, fast and literal.</w:t>
      </w:r>
    </w:p>
    <w:p>
      <w:pPr>
        <w:spacing w:after="60" w:before="240"/>
      </w:pPr>
      <w:r>
        <w:rPr>
          <w:rFonts w:ascii="Arial" w:cs="Arial" w:eastAsia="Arial" w:hAnsi="Arial"/>
          <w:b/>
          <w:bCs/>
          <w:color w:val="111111"/>
          <w:sz w:val="24"/>
          <w:szCs w:val="24"/>
        </w:rPr>
        <w:t xml:space="preserve">2. Semantic Skill Match</w:t>
      </w:r>
      <w:r>
        <w:rPr>
          <w:rFonts w:ascii="Arial" w:cs="Arial" w:eastAsia="Arial" w:hAnsi="Arial"/>
          <w:b w:val="false"/>
          <w:bCs w:val="false"/>
          <w:color w:val="555555"/>
          <w:sz w:val="22"/>
          <w:szCs w:val="22"/>
        </w:rPr>
        <w:t xml:space="preserve">  (15%)</w:t>
      </w:r>
    </w:p>
    <w:p>
      <w:pPr>
        <w:spacing w:after="160" w:before="0"/>
        <w:ind w:left="360"/>
      </w:pPr>
      <w:r>
        <w:rPr>
          <w:rFonts w:ascii="Arial" w:cs="Arial" w:eastAsia="Arial" w:hAnsi="Arial"/>
          <w:color w:val="333333"/>
          <w:sz w:val="20"/>
          <w:szCs w:val="20"/>
        </w:rPr>
        <w:t xml:space="preserve">Go beyond keyword overlap. Understand conceptually similar skills even if worded differently. A candidate who has done "GTM strategy" matches a JD asking for "go-to-market planning." Score based on how well the underlying competencies align, not just the surface language. Use embeddings or semantic similarity models for this layer.</w:t>
      </w:r>
    </w:p>
    <w:p>
      <w:pPr>
        <w:spacing w:after="60" w:before="240"/>
      </w:pPr>
      <w:r>
        <w:rPr>
          <w:rFonts w:ascii="Arial" w:cs="Arial" w:eastAsia="Arial" w:hAnsi="Arial"/>
          <w:b/>
          <w:bCs/>
          <w:color w:val="111111"/>
          <w:sz w:val="24"/>
          <w:szCs w:val="24"/>
        </w:rPr>
        <w:t xml:space="preserve">3. Functional Overlap</w:t>
      </w:r>
      <w:r>
        <w:rPr>
          <w:rFonts w:ascii="Arial" w:cs="Arial" w:eastAsia="Arial" w:hAnsi="Arial"/>
          <w:b w:val="false"/>
          <w:bCs w:val="false"/>
          <w:color w:val="555555"/>
          <w:sz w:val="22"/>
          <w:szCs w:val="22"/>
        </w:rPr>
        <w:t xml:space="preserve">  (13%)</w:t>
      </w:r>
    </w:p>
    <w:p>
      <w:pPr>
        <w:spacing w:after="160" w:before="0"/>
        <w:ind w:left="360"/>
      </w:pPr>
      <w:r>
        <w:rPr>
          <w:rFonts w:ascii="Arial" w:cs="Arial" w:eastAsia="Arial" w:hAnsi="Arial"/>
          <w:color w:val="333333"/>
          <w:sz w:val="20"/>
          <w:szCs w:val="20"/>
        </w:rPr>
        <w:t xml:space="preserve">Map the candidate's experience into functional buckets: Product, Strategy, GTM, Operations, Analytics. Do the same for the JD. Score based on how many buckets overlap and how deeply. Three or more overlapping buckets with depth scores high. One shallow overlap scores low.</w:t>
      </w:r>
    </w:p>
    <w:p>
      <w:pPr>
        <w:spacing w:after="60" w:before="240"/>
      </w:pPr>
      <w:r>
        <w:rPr>
          <w:rFonts w:ascii="Arial" w:cs="Arial" w:eastAsia="Arial" w:hAnsi="Arial"/>
          <w:b/>
          <w:bCs/>
          <w:color w:val="111111"/>
          <w:sz w:val="24"/>
          <w:szCs w:val="24"/>
        </w:rPr>
        <w:t xml:space="preserve">4. Role Seniority Calibration</w:t>
      </w:r>
      <w:r>
        <w:rPr>
          <w:rFonts w:ascii="Arial" w:cs="Arial" w:eastAsia="Arial" w:hAnsi="Arial"/>
          <w:b w:val="false"/>
          <w:bCs w:val="false"/>
          <w:color w:val="555555"/>
          <w:sz w:val="22"/>
          <w:szCs w:val="22"/>
        </w:rPr>
        <w:t xml:space="preserve">  (10%)</w:t>
      </w:r>
    </w:p>
    <w:p>
      <w:pPr>
        <w:spacing w:after="160" w:before="0"/>
        <w:ind w:left="360"/>
      </w:pPr>
      <w:r>
        <w:rPr>
          <w:rFonts w:ascii="Arial" w:cs="Arial" w:eastAsia="Arial" w:hAnsi="Arial"/>
          <w:color w:val="333333"/>
          <w:sz w:val="20"/>
          <w:szCs w:val="20"/>
        </w:rPr>
        <w:t xml:space="preserve">Detect the seniority band the JD targets: Junior, Mid, Senior, Lead, or Strategic. Compare against the candidate's current band. One level above the candidate is ideal stretch. Two or more levels below is underleveled and penalized. Two or more levels above is overreach and penalized. Signals to detect: "you will report to," "manage a team of," "own the roadmap," "support the team."</w:t>
      </w:r>
    </w:p>
    <w:p>
      <w:pPr>
        <w:spacing w:after="60" w:before="240"/>
      </w:pPr>
      <w:r>
        <w:rPr>
          <w:rFonts w:ascii="Arial" w:cs="Arial" w:eastAsia="Arial" w:hAnsi="Arial"/>
          <w:b/>
          <w:bCs/>
          <w:color w:val="111111"/>
          <w:sz w:val="24"/>
          <w:szCs w:val="24"/>
        </w:rPr>
        <w:t xml:space="preserve">5. Output Type Match</w:t>
      </w:r>
      <w:r>
        <w:rPr>
          <w:rFonts w:ascii="Arial" w:cs="Arial" w:eastAsia="Arial" w:hAnsi="Arial"/>
          <w:b w:val="false"/>
          <w:bCs w:val="false"/>
          <w:color w:val="555555"/>
          <w:sz w:val="22"/>
          <w:szCs w:val="22"/>
        </w:rPr>
        <w:t xml:space="preserve">  (10%)</w:t>
      </w:r>
    </w:p>
    <w:p>
      <w:pPr>
        <w:spacing w:after="160" w:before="0"/>
        <w:ind w:left="360"/>
      </w:pPr>
      <w:r>
        <w:rPr>
          <w:rFonts w:ascii="Arial" w:cs="Arial" w:eastAsia="Arial" w:hAnsi="Arial"/>
          <w:color w:val="333333"/>
          <w:sz w:val="20"/>
          <w:szCs w:val="20"/>
        </w:rPr>
        <w:t xml:space="preserve">Identify what the role produces day to day: decks and narratives, data and dashboards, product specs and roadmaps, client conversations, or research and analysis. Match against what the candidate's resume demonstrates as actual outputs, not just listed skills. Two or more output types aligning directly scores high.</w:t>
      </w:r>
    </w:p>
    <w:p>
      <w:pPr>
        <w:spacing w:after="60" w:before="240"/>
      </w:pPr>
      <w:r>
        <w:rPr>
          <w:rFonts w:ascii="Arial" w:cs="Arial" w:eastAsia="Arial" w:hAnsi="Arial"/>
          <w:b/>
          <w:bCs/>
          <w:color w:val="111111"/>
          <w:sz w:val="24"/>
          <w:szCs w:val="24"/>
        </w:rPr>
        <w:t xml:space="preserve">6. Decision Authority Score</w:t>
      </w:r>
      <w:r>
        <w:rPr>
          <w:rFonts w:ascii="Arial" w:cs="Arial" w:eastAsia="Arial" w:hAnsi="Arial"/>
          <w:b w:val="false"/>
          <w:bCs w:val="false"/>
          <w:color w:val="555555"/>
          <w:sz w:val="22"/>
          <w:szCs w:val="22"/>
        </w:rPr>
        <w:t xml:space="preserve">  (9%)</w:t>
      </w:r>
    </w:p>
    <w:p>
      <w:pPr>
        <w:spacing w:after="160" w:before="0"/>
        <w:ind w:left="360"/>
      </w:pPr>
      <w:r>
        <w:rPr>
          <w:rFonts w:ascii="Arial" w:cs="Arial" w:eastAsia="Arial" w:hAnsi="Arial"/>
          <w:color w:val="333333"/>
          <w:sz w:val="20"/>
          <w:szCs w:val="20"/>
        </w:rPr>
        <w:t xml:space="preserve">Detect the level of ownership the role offers. High authority signals: own, lead, define, build, decide, drive. Low authority signals: support, assist, coordinate, help, execute under. Roles with genuine ownership score high. Primarily executional roles with limited autonomy score low.</w:t>
      </w:r>
    </w:p>
    <w:p>
      <w:pPr>
        <w:spacing w:after="60" w:before="240"/>
      </w:pPr>
      <w:r>
        <w:rPr>
          <w:rFonts w:ascii="Arial" w:cs="Arial" w:eastAsia="Arial" w:hAnsi="Arial"/>
          <w:b/>
          <w:bCs/>
          <w:color w:val="111111"/>
          <w:sz w:val="24"/>
          <w:szCs w:val="24"/>
        </w:rPr>
        <w:t xml:space="preserve">7. Company Archetype Fit</w:t>
      </w:r>
      <w:r>
        <w:rPr>
          <w:rFonts w:ascii="Arial" w:cs="Arial" w:eastAsia="Arial" w:hAnsi="Arial"/>
          <w:b w:val="false"/>
          <w:bCs w:val="false"/>
          <w:color w:val="555555"/>
          <w:sz w:val="22"/>
          <w:szCs w:val="22"/>
        </w:rPr>
        <w:t xml:space="preserve">  (9%)</w:t>
      </w:r>
    </w:p>
    <w:p>
      <w:pPr>
        <w:spacing w:after="160" w:before="0"/>
        <w:ind w:left="360"/>
      </w:pPr>
      <w:r>
        <w:rPr>
          <w:rFonts w:ascii="Arial" w:cs="Arial" w:eastAsia="Arial" w:hAnsi="Arial"/>
          <w:color w:val="333333"/>
          <w:sz w:val="20"/>
          <w:szCs w:val="20"/>
        </w:rPr>
        <w:t xml:space="preserve">Classify the company into one of: Seed Hustle, Scaling Startup, Unicorn, Consulting, Conglomerate, Social Org. Match against the candidate's stated archetype preferences in order. Top two preferences score high. Bottom of the preference list scores low.</w:t>
      </w:r>
    </w:p>
    <w:p>
      <w:pPr>
        <w:spacing w:after="60" w:before="240"/>
      </w:pPr>
      <w:r>
        <w:rPr>
          <w:rFonts w:ascii="Arial" w:cs="Arial" w:eastAsia="Arial" w:hAnsi="Arial"/>
          <w:b/>
          <w:bCs/>
          <w:color w:val="111111"/>
          <w:sz w:val="24"/>
          <w:szCs w:val="24"/>
        </w:rPr>
        <w:t xml:space="preserve">8. Industry Adjacency Score</w:t>
      </w:r>
      <w:r>
        <w:rPr>
          <w:rFonts w:ascii="Arial" w:cs="Arial" w:eastAsia="Arial" w:hAnsi="Arial"/>
          <w:b w:val="false"/>
          <w:bCs w:val="false"/>
          <w:color w:val="555555"/>
          <w:sz w:val="22"/>
          <w:szCs w:val="22"/>
        </w:rPr>
        <w:t xml:space="preserve">  (8%)</w:t>
      </w:r>
    </w:p>
    <w:p>
      <w:pPr>
        <w:spacing w:after="160" w:before="0"/>
        <w:ind w:left="360"/>
      </w:pPr>
      <w:r>
        <w:rPr>
          <w:rFonts w:ascii="Arial" w:cs="Arial" w:eastAsia="Arial" w:hAnsi="Arial"/>
          <w:color w:val="333333"/>
          <w:sz w:val="20"/>
          <w:szCs w:val="20"/>
        </w:rPr>
        <w:t xml:space="preserve">Do not require exact industry match. Score based on how adjacent the JD's industry is to the candidate's experience. Use three tiers: Same industry scores 100, adjacent industry scores 60 to 80, distant industry scores 0 to 40. Adjacency is defined by how transferable the candidate's context and domain knowledge is.</w:t>
      </w:r>
    </w:p>
    <w:p>
      <w:pPr>
        <w:spacing w:after="60" w:before="240"/>
      </w:pPr>
      <w:r>
        <w:rPr>
          <w:rFonts w:ascii="Arial" w:cs="Arial" w:eastAsia="Arial" w:hAnsi="Arial"/>
          <w:b/>
          <w:bCs/>
          <w:color w:val="111111"/>
          <w:sz w:val="24"/>
          <w:szCs w:val="24"/>
        </w:rPr>
        <w:t xml:space="preserve">9. Founder/Operator Language Score</w:t>
      </w:r>
      <w:r>
        <w:rPr>
          <w:rFonts w:ascii="Arial" w:cs="Arial" w:eastAsia="Arial" w:hAnsi="Arial"/>
          <w:b w:val="false"/>
          <w:bCs w:val="false"/>
          <w:color w:val="555555"/>
          <w:sz w:val="22"/>
          <w:szCs w:val="22"/>
        </w:rPr>
        <w:t xml:space="preserve">  (7%)</w:t>
      </w:r>
    </w:p>
    <w:p>
      <w:pPr>
        <w:spacing w:after="160" w:before="0"/>
        <w:ind w:left="360"/>
      </w:pPr>
      <w:r>
        <w:rPr>
          <w:rFonts w:ascii="Arial" w:cs="Arial" w:eastAsia="Arial" w:hAnsi="Arial"/>
          <w:color w:val="333333"/>
          <w:sz w:val="20"/>
          <w:szCs w:val="20"/>
        </w:rPr>
        <w:t xml:space="preserve">Detect whether the JD is written in founder language or corporate HR language. Founder signals: wear many hats, zero to one, figure things out, high ownership, scrappy, move fast, ambiguous. HR signals: collaborate cross-functionally, drive alignment, stakeholder management, best practices, process-driven. Founder-written JDs score higher as a culture signal for candidates seeking ownership roles.</w:t>
      </w:r>
    </w:p>
    <w:p>
      <w:pPr>
        <w:spacing w:after="60" w:before="240"/>
      </w:pPr>
      <w:r>
        <w:rPr>
          <w:rFonts w:ascii="Arial" w:cs="Arial" w:eastAsia="Arial" w:hAnsi="Arial"/>
          <w:b/>
          <w:bCs/>
          <w:color w:val="111111"/>
          <w:sz w:val="24"/>
          <w:szCs w:val="24"/>
        </w:rPr>
        <w:t xml:space="preserve">10. Application Timing Score</w:t>
      </w:r>
      <w:r>
        <w:rPr>
          <w:rFonts w:ascii="Arial" w:cs="Arial" w:eastAsia="Arial" w:hAnsi="Arial"/>
          <w:b w:val="false"/>
          <w:bCs w:val="false"/>
          <w:color w:val="555555"/>
          <w:sz w:val="22"/>
          <w:szCs w:val="22"/>
        </w:rPr>
        <w:t xml:space="preserve">  (6%)</w:t>
      </w:r>
    </w:p>
    <w:p>
      <w:pPr>
        <w:spacing w:after="160" w:before="0"/>
        <w:ind w:left="360"/>
      </w:pPr>
      <w:r>
        <w:rPr>
          <w:rFonts w:ascii="Arial" w:cs="Arial" w:eastAsia="Arial" w:hAnsi="Arial"/>
          <w:color w:val="333333"/>
          <w:sz w:val="20"/>
          <w:szCs w:val="20"/>
        </w:rPr>
        <w:t xml:space="preserve">Score based on how recently the job was posted. 0 to 3 days scores 90 to 100. 4 to 10 days scores 70 to 85. 11 to 20 days scores 40 to 65. 21 or more days scores 0 to 35. If posting date is unavailable, assign a neutral score of 50.</w:t>
      </w:r>
    </w:p>
    <w:p>
      <w:pPr>
        <w:spacing w:after="60" w:before="240"/>
      </w:pPr>
      <w:r>
        <w:rPr>
          <w:rFonts w:ascii="Arial" w:cs="Arial" w:eastAsia="Arial" w:hAnsi="Arial"/>
          <w:b/>
          <w:bCs/>
          <w:color w:val="111111"/>
          <w:sz w:val="24"/>
          <w:szCs w:val="24"/>
        </w:rPr>
        <w:t xml:space="preserve">11. Learning Curve Index</w:t>
      </w:r>
      <w:r>
        <w:rPr>
          <w:rFonts w:ascii="Arial" w:cs="Arial" w:eastAsia="Arial" w:hAnsi="Arial"/>
          <w:b w:val="false"/>
          <w:bCs w:val="false"/>
          <w:color w:val="555555"/>
          <w:sz w:val="22"/>
          <w:szCs w:val="22"/>
        </w:rPr>
        <w:t xml:space="preserve">  (5%)</w:t>
      </w:r>
    </w:p>
    <w:p>
      <w:pPr>
        <w:spacing w:after="160" w:before="0"/>
        <w:ind w:left="360"/>
      </w:pPr>
      <w:r>
        <w:rPr>
          <w:rFonts w:ascii="Arial" w:cs="Arial" w:eastAsia="Arial" w:hAnsi="Arial"/>
          <w:color w:val="333333"/>
          <w:sz w:val="20"/>
          <w:szCs w:val="20"/>
        </w:rPr>
        <w:t xml:space="preserve">Estimate the growth potential relative to the candidate's current level. Too familiar, meaning 80% or more overlap, signals stagnation risk and scores 40 to 55. The sweet spot, meaning 60 to 75% familiar and 25 to 40% new, scores 80 to 100. Too foreign, meaning less than 50% familiar, signals high risk and scores 0 to 35.</w:t>
      </w:r>
    </w:p>
    <w:p>
      <w:pPr>
        <w:spacing w:after="60" w:before="240"/>
      </w:pPr>
      <w:r>
        <w:rPr>
          <w:rFonts w:ascii="Arial" w:cs="Arial" w:eastAsia="Arial" w:hAnsi="Arial"/>
          <w:b/>
          <w:bCs/>
          <w:color w:val="111111"/>
          <w:sz w:val="24"/>
          <w:szCs w:val="24"/>
        </w:rPr>
        <w:t xml:space="preserve">12. Geo-Mobility Match</w:t>
      </w:r>
      <w:r>
        <w:rPr>
          <w:rFonts w:ascii="Arial" w:cs="Arial" w:eastAsia="Arial" w:hAnsi="Arial"/>
          <w:b w:val="false"/>
          <w:bCs w:val="false"/>
          <w:color w:val="555555"/>
          <w:sz w:val="22"/>
          <w:szCs w:val="22"/>
        </w:rPr>
        <w:t xml:space="preserve">  (4%)</w:t>
      </w:r>
    </w:p>
    <w:p>
      <w:pPr>
        <w:spacing w:after="160" w:before="0"/>
        <w:ind w:left="360"/>
      </w:pPr>
      <w:r>
        <w:rPr>
          <w:rFonts w:ascii="Arial" w:cs="Arial" w:eastAsia="Arial" w:hAnsi="Arial"/>
          <w:color w:val="333333"/>
          <w:sz w:val="20"/>
          <w:szCs w:val="20"/>
        </w:rPr>
        <w:t xml:space="preserve">Check if the role's location falls within the candidate's accepted locations. Remote or accepted city scores high. A city not on the candidate's list scores low. If location is ambiguous or not mentioned, assign a neutral score of 60.</w:t>
      </w:r>
    </w:p>
    <w:p>
      <w:pPr>
        <w:pBdr>
          <w:bottom w:val="single" w:color="DDDDDD" w:sz="4" w:space="1"/>
        </w:pBdr>
        <w:spacing w:after="100" w:before="100"/>
      </w:pPr>
    </w:p>
    <w:p>
      <w:pPr>
        <w:pStyle w:val="Heading2"/>
        <w:spacing w:after="100" w:before="300"/>
      </w:pPr>
      <w:r>
        <w:rPr>
          <w:rFonts w:ascii="Arial" w:cs="Arial" w:eastAsia="Arial" w:hAnsi="Arial"/>
          <w:b/>
          <w:bCs/>
          <w:color w:val="111111"/>
          <w:sz w:val="26"/>
          <w:szCs w:val="26"/>
        </w:rPr>
        <w:t xml:space="preserve">Weight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1880"/>
        <w:gridCol w:w="1680"/>
      </w:tblGrid>
      <w:tr>
        <w:tc>
          <w:tcPr>
            <w:tcW w:type="dxa" w:w="580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tcPr>
          <w:p>
            <w:r>
              <w:rPr>
                <w:rFonts w:ascii="Arial" w:cs="Arial" w:eastAsia="Arial" w:hAnsi="Arial"/>
                <w:b/>
                <w:bCs/>
                <w:color w:val="FFFFFF"/>
                <w:sz w:val="22"/>
                <w:szCs w:val="22"/>
              </w:rPr>
              <w:t xml:space="preserve">Dimension</w:t>
            </w:r>
          </w:p>
        </w:tc>
        <w:tc>
          <w:tcPr>
            <w:tcW w:type="dxa" w:w="188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tcPr>
          <w:p>
            <w:r>
              <w:rPr>
                <w:rFonts w:ascii="Arial" w:cs="Arial" w:eastAsia="Arial" w:hAnsi="Arial"/>
                <w:b/>
                <w:bCs/>
                <w:color w:val="FFFFFF"/>
                <w:sz w:val="22"/>
                <w:szCs w:val="22"/>
              </w:rPr>
              <w:t xml:space="preserve">Weight</w:t>
            </w:r>
          </w:p>
        </w:tc>
        <w:tc>
          <w:tcPr>
            <w:tcW w:type="dxa" w:w="168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tcPr>
          <w:p>
            <w:r>
              <w:rPr>
                <w:rFonts w:ascii="Arial" w:cs="Arial" w:eastAsia="Arial" w:hAnsi="Arial"/>
                <w:b/>
                <w:bCs/>
                <w:color w:val="FFFFFF"/>
                <w:sz w:val="22"/>
                <w:szCs w:val="22"/>
              </w:rPr>
              <w:t xml:space="preserve">Score Range</w:t>
            </w:r>
          </w:p>
        </w:tc>
      </w:tr>
      <w:tr>
        <w:tc>
          <w:tcPr>
            <w:tcW w:type="dxa" w:w="5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1. Keyword Match</w:t>
            </w:r>
          </w:p>
        </w:tc>
        <w:tc>
          <w:tcPr>
            <w:tcW w:type="dxa" w:w="18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14%</w:t>
            </w:r>
          </w:p>
        </w:tc>
        <w:tc>
          <w:tcPr>
            <w:tcW w:type="dxa" w:w="1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0 to 100</w:t>
            </w:r>
          </w:p>
        </w:tc>
      </w:tr>
      <w:tr>
        <w:tc>
          <w:tcPr>
            <w:tcW w:type="dxa" w:w="5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 Semantic Skill Match</w:t>
            </w:r>
          </w:p>
        </w:tc>
        <w:tc>
          <w:tcPr>
            <w:tcW w:type="dxa" w:w="1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 to 100</w:t>
            </w:r>
          </w:p>
        </w:tc>
      </w:tr>
      <w:tr>
        <w:tc>
          <w:tcPr>
            <w:tcW w:type="dxa" w:w="5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3. Functional Overlap</w:t>
            </w:r>
          </w:p>
        </w:tc>
        <w:tc>
          <w:tcPr>
            <w:tcW w:type="dxa" w:w="18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13%</w:t>
            </w:r>
          </w:p>
        </w:tc>
        <w:tc>
          <w:tcPr>
            <w:tcW w:type="dxa" w:w="1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0 to 100</w:t>
            </w:r>
          </w:p>
        </w:tc>
      </w:tr>
      <w:tr>
        <w:tc>
          <w:tcPr>
            <w:tcW w:type="dxa" w:w="5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 Role Seniority Calibration</w:t>
            </w:r>
          </w:p>
        </w:tc>
        <w:tc>
          <w:tcPr>
            <w:tcW w:type="dxa" w:w="1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 to 100</w:t>
            </w:r>
          </w:p>
        </w:tc>
      </w:tr>
      <w:tr>
        <w:tc>
          <w:tcPr>
            <w:tcW w:type="dxa" w:w="5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5. Output Type Match</w:t>
            </w:r>
          </w:p>
        </w:tc>
        <w:tc>
          <w:tcPr>
            <w:tcW w:type="dxa" w:w="18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10%</w:t>
            </w:r>
          </w:p>
        </w:tc>
        <w:tc>
          <w:tcPr>
            <w:tcW w:type="dxa" w:w="1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0 to 100</w:t>
            </w:r>
          </w:p>
        </w:tc>
      </w:tr>
      <w:tr>
        <w:tc>
          <w:tcPr>
            <w:tcW w:type="dxa" w:w="5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 Decision Authority Score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9%</w:t>
            </w:r>
          </w:p>
        </w:tc>
        <w:tc>
          <w:tcPr>
            <w:tcW w:type="dxa" w:w="1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 to 100</w:t>
            </w:r>
          </w:p>
        </w:tc>
      </w:tr>
      <w:tr>
        <w:tc>
          <w:tcPr>
            <w:tcW w:type="dxa" w:w="5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7. Company Archetype Fit</w:t>
            </w:r>
          </w:p>
        </w:tc>
        <w:tc>
          <w:tcPr>
            <w:tcW w:type="dxa" w:w="18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9%</w:t>
            </w:r>
          </w:p>
        </w:tc>
        <w:tc>
          <w:tcPr>
            <w:tcW w:type="dxa" w:w="1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0 to 100</w:t>
            </w:r>
          </w:p>
        </w:tc>
      </w:tr>
      <w:tr>
        <w:tc>
          <w:tcPr>
            <w:tcW w:type="dxa" w:w="5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8. Industry Adjacency Score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 to 100</w:t>
            </w:r>
          </w:p>
        </w:tc>
      </w:tr>
      <w:tr>
        <w:tc>
          <w:tcPr>
            <w:tcW w:type="dxa" w:w="5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9. Founder/Operator Language Score</w:t>
            </w:r>
          </w:p>
        </w:tc>
        <w:tc>
          <w:tcPr>
            <w:tcW w:type="dxa" w:w="18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7%</w:t>
            </w:r>
          </w:p>
        </w:tc>
        <w:tc>
          <w:tcPr>
            <w:tcW w:type="dxa" w:w="1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0 to 100</w:t>
            </w:r>
          </w:p>
        </w:tc>
      </w:tr>
      <w:tr>
        <w:tc>
          <w:tcPr>
            <w:tcW w:type="dxa" w:w="5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 Application Timing Score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w:t>
            </w:r>
          </w:p>
        </w:tc>
        <w:tc>
          <w:tcPr>
            <w:tcW w:type="dxa" w:w="1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 to 100</w:t>
            </w:r>
          </w:p>
        </w:tc>
      </w:tr>
      <w:tr>
        <w:tc>
          <w:tcPr>
            <w:tcW w:type="dxa" w:w="5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11. Learning Curve Index</w:t>
            </w:r>
          </w:p>
        </w:tc>
        <w:tc>
          <w:tcPr>
            <w:tcW w:type="dxa" w:w="18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5%</w:t>
            </w:r>
          </w:p>
        </w:tc>
        <w:tc>
          <w:tcPr>
            <w:tcW w:type="dxa" w:w="1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0 to 100</w:t>
            </w:r>
          </w:p>
        </w:tc>
      </w:tr>
      <w:tr>
        <w:tc>
          <w:tcPr>
            <w:tcW w:type="dxa" w:w="5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12. Geo-Mobility Match</w:t>
            </w:r>
          </w:p>
        </w:tc>
        <w:tc>
          <w:tcPr>
            <w:tcW w:type="dxa" w:w="1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1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 to 100</w:t>
            </w:r>
          </w:p>
        </w:tc>
      </w:tr>
    </w:tbl>
    <w:p>
      <w:pPr>
        <w:pBdr>
          <w:bottom w:val="single" w:color="DDDDDD" w:sz="4" w:space="1"/>
        </w:pBdr>
        <w:spacing w:after="100" w:before="100"/>
      </w:pPr>
    </w:p>
    <w:p>
      <w:pPr>
        <w:pStyle w:val="Heading2"/>
        <w:spacing w:after="100" w:before="300"/>
      </w:pPr>
      <w:r>
        <w:rPr>
          <w:rFonts w:ascii="Arial" w:cs="Arial" w:eastAsia="Arial" w:hAnsi="Arial"/>
          <w:b/>
          <w:bCs/>
          <w:color w:val="111111"/>
          <w:sz w:val="26"/>
          <w:szCs w:val="26"/>
        </w:rPr>
        <w:t xml:space="preserve">Recommendation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tcPr>
          <w:p>
            <w:r>
              <w:rPr>
                <w:rFonts w:ascii="Arial" w:cs="Arial" w:eastAsia="Arial" w:hAnsi="Arial"/>
                <w:b/>
                <w:bCs/>
                <w:color w:val="FFFFFF"/>
                <w:sz w:val="22"/>
                <w:szCs w:val="22"/>
              </w:rPr>
              <w:t xml:space="preserve">Total Score</w:t>
            </w:r>
          </w:p>
        </w:tc>
        <w:tc>
          <w:tcPr>
            <w:tcW w:type="dxa" w:w="468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tcPr>
          <w:p>
            <w:r>
              <w:rPr>
                <w:rFonts w:ascii="Arial" w:cs="Arial" w:eastAsia="Arial" w:hAnsi="Arial"/>
                <w:b/>
                <w:bCs/>
                <w:color w:val="FFFFFF"/>
                <w:sz w:val="22"/>
                <w:szCs w:val="22"/>
              </w:rPr>
              <w:t xml:space="preserve">Recommendation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75 and above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Apply Now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60 to 74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Strong Consider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45 to 59</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Borderline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Below 45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Skip</w:t>
            </w:r>
          </w:p>
        </w:tc>
      </w:tr>
    </w:tbl>
    <w:p>
      <w:pPr>
        <w:spacing w:before="300"/>
      </w:pPr>
    </w:p>
    <w:p>
      <w:pPr>
        <w:spacing w:after="0" w:before="100"/>
      </w:pPr>
      <w:r>
        <w:rPr>
          <w:rFonts w:ascii="Arial" w:cs="Arial" w:eastAsia="Arial" w:hAnsi="Arial"/>
          <w:i/>
          <w:iCs/>
          <w:color w:val="777777"/>
          <w:sz w:val="18"/>
          <w:szCs w:val="18"/>
        </w:rPr>
        <w:t xml:space="preserve">All weights are configurable. Dimensions can be toggled on or off per search session. Weights must sum to 100% at all times.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000000"/>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2026-04-03T09:00:49.823Z</dcterms:created>
  <dcterms:modified xsi:type="dcterms:W3CDTF">2026-04-03T09:00:49.824Z</dcterms:modified>
</cp:coreProperties>
</file>

<file path=docProps/custom.xml><?xml version="1.0" encoding="utf-8"?>
<Properties xmlns="http://schemas.openxmlformats.org/officeDocument/2006/custom-properties" xmlns:vt="http://schemas.openxmlformats.org/officeDocument/2006/docPropsVTypes"/>
</file>