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ZFI_SUPPLIER_MIGRATION</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"ZFI_SUPPLIER_MIGRATION". The object contains 1 source file(s) totalling 874 lines. The automated scanner identified 19 medium-severity, 2 low-severity performance issues across 4 distinct anti-pattern categories.</w:t>
      </w:r>
    </w:p>
    <w:p>
      <w:pPr>
        <w:spacing w:after="60" w:before="60"/>
      </w:pPr>
      <w:r>
        <w:rPr>
          <w:rFonts w:ascii="Calibri" w:cs="Calibri" w:eastAsia="Calibri" w:hAnsi="Calibri"/>
          <w:sz w:val="22"/>
          <w:szCs w:val="22"/>
        </w:rPr>
        <w:t xml:space="preserve">The program has a number of medium-severity issues that add up to measurable runtime.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0</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19</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2</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ZFI_SUPPLIER_MIGRATION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874</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21</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ZFI_SUPPLIER_MIGRATION.txt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874</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27398</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2.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ta_adr6 INTO DATA(wa_adr6) WITH KEY addrnumber = wa_lfa1-adrnr.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3.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4.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ta_final INTO wa_final</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ZFI_SUPPLIER_MIGRATION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2026-04-22T11:40:48.233Z</dcterms:created>
  <dcterms:modified xsi:type="dcterms:W3CDTF">2026-04-22T11:40:48.233Z</dcterms:modified>
</cp:coreProperties>
</file>

<file path=docProps/custom.xml><?xml version="1.0" encoding="utf-8"?>
<Properties xmlns="http://schemas.openxmlformats.org/officeDocument/2006/custom-properties" xmlns:vt="http://schemas.openxmlformats.org/officeDocument/2006/docPropsVTypes"/>
</file>