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E61A27"/>
          <w:spacing w:val="30"/>
          <w:sz w:val="26"/>
          <w:szCs w:val="26"/>
        </w:rPr>
        <w:t xml:space="preserve">COCA-COLA BOTTLERS JAPAN</w:t>
      </w:r>
    </w:p>
    <w:p>
      <w:pPr>
        <w:pBdr>
          <w:bottom w:val="single" w:color="E61A27" w:sz="24" w:space="6"/>
        </w:pBdr>
        <w:spacing w:after="4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DSD Route Settlement Details</w:t>
      </w:r>
    </w:p>
    <w:p>
      <w:pPr>
        <w:spacing w:after="420"/>
      </w:pPr>
      <w:r>
        <w:rPr>
          <w:rFonts w:ascii="Calibri" w:cs="Calibri" w:eastAsia="Calibri" w:hAnsi="Calibri"/>
          <w:color w:val="595959"/>
          <w:sz w:val="34"/>
          <w:szCs w:val="34"/>
        </w:rPr>
        <w:t xml:space="preserve">Classic ABAP Report to SAP RAP + Fiori Conversion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E61A27"/>
          <w:sz w:val="26"/>
          <w:szCs w:val="26"/>
        </w:rPr>
        <w:t xml:space="preserve">Executive Briefing</w:t>
      </w:r>
    </w:p>
    <w:p>
      <w:pPr>
        <w:spacing w:after="1200"/>
      </w:pPr>
      <w:r>
        <w:rPr>
          <w:rFonts w:ascii="Calibri" w:cs="Calibri" w:eastAsia="Calibri" w:hAnsi="Calibri"/>
          <w:i/>
          <w:iCs/>
          <w:color w:val="8C8C8C"/>
          <w:sz w:val="22"/>
          <w:szCs w:val="22"/>
        </w:rPr>
        <w:t xml:space="preserve">Modernization of the /CCBJI/ Route Settlement reporting suite on SAP S/4HANA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Program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/CCBJI/ Direct Store Delivery — Settlement Reporting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Source object</w:t>
            </w:r>
          </w:p>
        </w:tc>
        <w:tc>
          <w:tcPr>
            <w:tcW w:type="dxa" w:w="67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/CCBJI/RDSDFSVG_STLMNT_DETAILS (classic ABAP SALV report)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SAP S/4HANA · ABAP RESTful Application Programming (RAP) · Fiori Elements V4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Executive summary — feasibility &amp; conversion outcome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67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1.0 · 25 August 2026</w:t>
            </w:r>
          </w:p>
        </w:tc>
      </w:tr>
    </w:tbl>
    <w:p>
      <w:pPr>
        <w:sectPr>
          <w:pgSz w:w="12240" w:h="15840" w:orient="portrait"/>
          <w:pgMar w:top="1080" w:right="1200" w:bottom="1080" w:left="1200" w:header="708" w:footer="708" w:gutter="0"/>
          <w:pgNumType/>
          <w:docGrid w:linePitch="360"/>
        </w:sectPr>
      </w:pP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E61A27"/>
          <w:sz w:val="30"/>
          <w:szCs w:val="30"/>
        </w:rPr>
        <w:t xml:space="preserve">1.  Executive Summary</w:t>
      </w:r>
    </w:p>
    <w:p>
      <w:pPr>
        <w:pBdr>
          <w:bottom w:val="single" w:color="E61A27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DSD Route Settlement Details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report is a business-critical tool used by Coca-Cola Bottlers Japan to review the financial and operational settlement of Direct Store Delivery (DSD) routes — covering tours, customer visits, sales and replenishment, cash and payments, stock differences, and the underlying accounting documents. Historically it has been delivered as a classic ABAP list report, accessible only through the SAP GUI.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initiative successfully converts that report into a modern, web-based SAP Fiori application built on SAP's strategic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RAP (ABAP RESTful Application Programming)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model. All nine reporting perspectives of the original program are preserved, while the user experience, accessibility, and maintainability are brought in line with SAP S/4HANA and Clean Core standards.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What this means for the business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Same information, modern access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full settlement report is now available in any web browser and on mobile, with no SAP GUI required.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Future-proof foundation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solution follows SAP's recommended architecture, keeping the core clean and upgrade-safe.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Faster onboarding and lower support cost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an intuitive, self-explanatory interface reduces training and helpdesk effort.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Re-usable data service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report is now exposed as a standard OData service that can feed dashboards, analytics, and other applications.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E61A27"/>
          <w:sz w:val="30"/>
          <w:szCs w:val="30"/>
        </w:rPr>
        <w:t xml:space="preserve">2.  Business Context &amp; Objectives</w:t>
      </w:r>
    </w:p>
    <w:p>
      <w:pPr>
        <w:pBdr>
          <w:bottom w:val="single" w:color="E61A27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Direct Store Delivery settlement is where the day's route activity is reconciled: what was planned, delivered, returned, sold, collected in cash, and posted to finance. The classic report gave power users a single place to inspect all of this — but its SAP GUI-only delivery increasingly conflicts with the company's move to S/4HANA, browser-first ways of working, and the SAP Clean Core strategy.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Objectives of the conversion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596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Preserve business functionality</w:t>
            </w:r>
          </w:p>
        </w:tc>
        <w:tc>
          <w:tcPr>
            <w:tcW w:type="dxa" w:w="59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nine report perspectives reproduced with matching columns and values.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Modernize the user experience</w:t>
            </w:r>
          </w:p>
        </w:tc>
        <w:tc>
          <w:tcPr>
            <w:tcW w:type="dxa" w:w="59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Delivered as a responsive SAP Fiori application (List Report + Object Page).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Adopt SAP's strategic model</w:t>
            </w:r>
          </w:p>
        </w:tc>
        <w:tc>
          <w:tcPr>
            <w:tcW w:type="dxa" w:w="59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Rebuilt on RAP with released CDS views and an OData V4 service.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Protect the upgrade path</w:t>
            </w:r>
          </w:p>
        </w:tc>
        <w:tc>
          <w:tcPr>
            <w:tcW w:type="dxa" w:w="59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modifications to SAP standard; Clean Core-aligned custom namespace only.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Enable downstream reuse</w:t>
            </w:r>
          </w:p>
        </w:tc>
        <w:tc>
          <w:tcPr>
            <w:tcW w:type="dxa" w:w="59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Report data available as a governed, re-usable API service.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E61A27"/>
          <w:sz w:val="30"/>
          <w:szCs w:val="30"/>
        </w:rPr>
        <w:t xml:space="preserve">3.  Scope of the Converted Report</w:t>
      </w:r>
    </w:p>
    <w:p>
      <w:pPr>
        <w:pBdr>
          <w:bottom w:val="single" w:color="E61A27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original report presents nine distinct perspectives on a settlement, selectable by the user. Every one of these has been carried across, each with its own tailored column layout in the new application: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"/>
        <w:gridCol w:w="2900"/>
        <w:gridCol w:w="5900"/>
      </w:tblGrid>
      <w:tr>
        <w:trPr>
          <w:tblHeader/>
        </w:trPr>
        <w:tc>
          <w:tcPr>
            <w:tcW w:type="dxa" w:w="56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 perspective</w:t>
            </w:r>
          </w:p>
        </w:tc>
        <w:tc>
          <w:tcPr>
            <w:tcW w:type="dxa" w:w="590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Tour Details</w:t>
            </w:r>
          </w:p>
        </w:tc>
        <w:tc>
          <w:tcPr>
            <w:tcW w:type="dxa" w:w="5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Route, driver, tour status, exceptions and processing status.</w:t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Visit Details</w:t>
            </w:r>
          </w:p>
        </w:tc>
        <w:tc>
          <w:tcPr>
            <w:tcW w:type="dxa" w:w="5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Per-customer visit data, account and business attributes, visit status.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Sales / Replenishment</w:t>
            </w:r>
          </w:p>
        </w:tc>
        <w:tc>
          <w:tcPr>
            <w:tcW w:type="dxa" w:w="5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Sales and replenishment order lines, quantities, conditions and amounts.</w:t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Payment Details</w:t>
            </w:r>
          </w:p>
        </w:tc>
        <w:tc>
          <w:tcPr>
            <w:tcW w:type="dxa" w:w="5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Cash and card payments with the full FI accounting-document detail.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Check-Out / Check-In</w:t>
            </w:r>
          </w:p>
        </w:tc>
        <w:tc>
          <w:tcPr>
            <w:tcW w:type="dxa" w:w="5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Planned vs. counted stock at load-out and return.</w:t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Money Differences</w:t>
            </w:r>
          </w:p>
        </w:tc>
        <w:tc>
          <w:tcPr>
            <w:tcW w:type="dxa" w:w="5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Cash check-out vs. check-in reconciliation and difference amounts.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Quantity Differences</w:t>
            </w:r>
          </w:p>
        </w:tc>
        <w:tc>
          <w:tcPr>
            <w:tcW w:type="dxa" w:w="5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Target, delivered, returned and final stock quantity variances.</w:t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FSR Documents</w:t>
            </w:r>
          </w:p>
        </w:tc>
        <w:tc>
          <w:tcPr>
            <w:tcW w:type="dxa" w:w="5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full document chain: sales order → delivery → invoice → accounting / material document, incl. intercompany.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 (Cash) Summary</w:t>
            </w:r>
          </w:p>
        </w:tc>
        <w:tc>
          <w:tcPr>
            <w:tcW w:type="dxa" w:w="5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Aggregated cash position: banked, theoretical, differences and driver settlement.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selection criteria, per-mode column visibility, traffic-light status indicators, drill-down to a detail (Object) page, and Japan-timezone date handling are all reproduced to match the classic report.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E61A27"/>
          <w:sz w:val="30"/>
          <w:szCs w:val="30"/>
        </w:rPr>
        <w:t xml:space="preserve">4.  Solution Approach &amp; Architecture</w:t>
      </w:r>
    </w:p>
    <w:p>
      <w:pPr>
        <w:pBdr>
          <w:bottom w:val="single" w:color="E61A27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report logic was re-engineered from classic ABAP list processing into a layered RAP application. Data is retrieved on demand by a query provider, shaped by a CDS data model, exposed as an OData service, and rendered by a standard SAP Fiori Elements application — no hand-coded UI.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Architecture at a glance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3560"/>
        <w:gridCol w:w="3900"/>
      </w:tblGrid>
      <w:tr>
        <w:trPr>
          <w:tblHeader/>
        </w:trPr>
        <w:tc>
          <w:tcPr>
            <w:tcW w:type="dxa" w:w="190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0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SAP Fiori Elements V4 — List Report &amp; Object Page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 / mobile UI; per-mode column and field layouts.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35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 Definition &amp; Binding (OData V4)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Governed, re-usable API endpoint.</w:t>
            </w:r>
          </w:p>
        </w:tc>
      </w:tr>
      <w:t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Model</w:t>
            </w:r>
          </w:p>
        </w:tc>
        <w:tc>
          <w:tcPr>
            <w:tcW w:type="dxa" w:w="3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CDS view I_FSV_STLMNT_DTL + UI metadata extension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Defines fields, labels, and Fiori annotations.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35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RAP query class /CCBJI/CL_FSV_STLMNT_QRY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Reproduces the nine-mode business logic on demand.</w:t>
            </w:r>
          </w:p>
        </w:tc>
      </w:tr>
      <w:t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Value Helps</w:t>
            </w:r>
          </w:p>
        </w:tc>
        <w:tc>
          <w:tcPr>
            <w:tcW w:type="dxa" w:w="3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Released CDS value-help views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Plant, route, shipment, status and mode filters.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Engineering approach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Unmanaged RAP query provider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original selection-screen and mode logic is faithfully re-implemented behind a standard query interface.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One entity, nine layouts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single data model carries all perspectives; the application shows only the columns relevant to the chosen mode.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Standard Fiori Elements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UI is generated from annotations, with lightweight extensions only where per-mode behaviour is required.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E61A27"/>
          <w:sz w:val="30"/>
          <w:szCs w:val="30"/>
        </w:rPr>
        <w:t xml:space="preserve">5.  S/4HANA Modernization Highlights</w:t>
      </w:r>
    </w:p>
    <w:p>
      <w:pPr>
        <w:pBdr>
          <w:bottom w:val="single" w:color="E61A27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Beyond a like-for-like rebuild, the conversion adopts the current S/4HANA data foundations, replacing legacy tables and access methods with their strategic successors: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3260"/>
        <w:gridCol w:w="3000"/>
      </w:tblGrid>
      <w:tr>
        <w:trPr>
          <w:tblHeader/>
        </w:trPr>
        <w:tc>
          <w:tcPr>
            <w:tcW w:type="dxa" w:w="310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approach</w:t>
            </w:r>
          </w:p>
        </w:tc>
        <w:tc>
          <w:tcPr>
            <w:tcW w:type="dxa" w:w="326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Modernized to</w:t>
            </w:r>
          </w:p>
        </w:tc>
        <w:tc>
          <w:tcPr>
            <w:tcW w:type="dxa" w:w="300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Material document tables (MKPF/MSEG)</w:t>
            </w:r>
          </w:p>
        </w:tc>
        <w:tc>
          <w:tcPr>
            <w:tcW w:type="dxa" w:w="3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MATDOC universal material document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Aligned with the S/4HANA simplified data model.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Direct BSEG / RFC document reads</w:t>
            </w:r>
          </w:p>
        </w:tc>
        <w:tc>
          <w:tcPr>
            <w:tcW w:type="dxa" w:w="32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Released FI interfaces &amp; standard function modules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Supported, upgrade-safe accounting access.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SAP GUI ALV list output</w:t>
            </w:r>
          </w:p>
        </w:tc>
        <w:tc>
          <w:tcPr>
            <w:tcW w:type="dxa" w:w="3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Fiori Elements List Report &amp; Object Page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 and mobile access; modern UX.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Report-embedded logic</w:t>
            </w:r>
          </w:p>
        </w:tc>
        <w:tc>
          <w:tcPr>
            <w:tcW w:type="dxa" w:w="32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Re-usable OData V4 service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Consumable by analytics and other apps.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E61A27"/>
          <w:sz w:val="30"/>
          <w:szCs w:val="30"/>
        </w:rPr>
        <w:t xml:space="preserve">6.  Business Benefits</w:t>
      </w:r>
    </w:p>
    <w:p>
      <w:pPr>
        <w:pBdr>
          <w:bottom w:val="single" w:color="E61A27" w:sz="12" w:space="1"/>
        </w:pBdr>
        <w:spacing w:after="12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Strategic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Aligns a key operational report with SAP's target architecture and Clean Core principles, protecting future upgrades and the S/4HANA roadmap.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Establishes a re-usable pattern and template for modernizing further classic reports across the DSD landscape.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Operational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Anytime, anywhere access from a browser or mobile device — no SAP GUI installation or training.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Consistent, intuitive Fiori experience with filtering, sorting, personalization and drill-down out of the box.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Lower total cost of ownership through reduced training, simpler support, and standard tooling.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Data &amp; Analytics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Settlement data is now a governed API, ready to feed management dashboards, KPI reporting and integration scenarios.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single source of logic reduces the risk of divergent report versions.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E61A27"/>
          <w:sz w:val="30"/>
          <w:szCs w:val="30"/>
        </w:rPr>
        <w:t xml:space="preserve">7.  Functional Fidelity &amp; Quality Assurance</w:t>
      </w:r>
    </w:p>
    <w:p>
      <w:pPr>
        <w:pBdr>
          <w:bottom w:val="single" w:color="E61A27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conversion was validated perspective-by-perspective against the classic report using live business data, with iterative side-by-side comparison of columns, labels, values and record counts. Areas given particular attention included: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Correct record generation for multi-line perspectives (e.g. payments producing one row per accounting line item).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complete FSR document chain, including intercompany invoice and finance documents.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Accurate cash aggregation for the Route Summary, and money / quantity difference calculations.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Japan-timezone treatment of created and changed dates to match the SAP GUI to the day.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Faithful currency handling for Japanese Yen amounts.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A60E19"/>
          <w:sz w:val="21"/>
          <w:szCs w:val="21"/>
        </w:rPr>
        <w:t xml:space="preserve">Result: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Fiori application reproduces the classic report's content across all nine perspectives, presented through a modern, self-service interface.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E61A27"/>
          <w:sz w:val="30"/>
          <w:szCs w:val="30"/>
        </w:rPr>
        <w:t xml:space="preserve">8.  Delivery Status, Risks &amp; Next Steps</w:t>
      </w:r>
    </w:p>
    <w:p>
      <w:pPr>
        <w:pBdr>
          <w:bottom w:val="single" w:color="E61A27" w:sz="12" w:space="1"/>
        </w:pBdr>
        <w:spacing w:after="12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Status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3760"/>
            <w:shd w:fill="E61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model &amp; CDS views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RAP query logic (all 9 modes)</w:t>
            </w:r>
          </w:p>
        </w:tc>
        <w:tc>
          <w:tcPr>
            <w:tcW w:type="dxa" w:w="37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OData service &amp; Fiori app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Business validation vs. classic report</w:t>
            </w:r>
          </w:p>
        </w:tc>
        <w:tc>
          <w:tcPr>
            <w:tcW w:type="dxa" w:w="37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In progress — iterative sign-off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Key considerations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Value confirmation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small number of edge-case fields are being confirmed with business users against the source system; these are localized and low-risk.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Performance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to retrieve data on demand per selection; large selections should be range-limited as in the classic report.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60E19"/>
          <w:sz w:val="24"/>
          <w:szCs w:val="24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Complete formal user acceptance testing (UAT) and business sign-off across all nine perspectives.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Roll out to a pilot user group, then to the wider route-settlement community.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 the delivered pattern as the blueprint for modernizing the remaining classic DSD reports.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Assess opportunities to surface the new settlement service in management dashboards.</w:t>
      </w:r>
    </w:p>
    <w:p>
      <w:pPr>
        <w:pBdr>
          <w:top w:val="single" w:color="E61A27" w:sz="12" w:space="6"/>
        </w:pBdr>
        <w:spacing w:before="300"/>
      </w:pPr>
    </w:p>
    <w:p>
      <w:pPr>
        <w:spacing w:before="120"/>
      </w:pPr>
      <w:r>
        <w:rPr>
          <w:rFonts w:ascii="Calibri" w:cs="Calibri" w:eastAsia="Calibri" w:hAnsi="Calibri"/>
          <w:i/>
          <w:iCs/>
          <w:color w:val="8C8C8C"/>
          <w:sz w:val="18"/>
          <w:szCs w:val="18"/>
        </w:rPr>
        <w:t xml:space="preserve">Prepared by the SAP Modernization team.  For questions on this briefing, contact the S/4HANA DSD workstream lead.</w:t>
      </w:r>
    </w:p>
    <w:sectPr>
      <w:headerReference w:type="default" r:id="rId7"/>
      <w:footerReference w:type="default" r:id="rId8"/>
      <w:pgSz w:w="12240" w:h="15840" w:orient="portrait"/>
      <w:pgMar w:top="1260" w:right="1200" w:bottom="116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840"/>
      </w:tabs>
      <w:spacing w:before="60"/>
    </w:pPr>
    <w:r>
      <w:rPr>
        <w:rFonts w:ascii="Calibri" w:cs="Calibri" w:eastAsia="Calibri" w:hAnsi="Calibri"/>
        <w:color w:val="8C8C8C"/>
        <w:sz w:val="15"/>
        <w:szCs w:val="15"/>
      </w:rPr>
      <w:t xml:space="preserve">Internal — Executive Briefing</w:t>
    </w:r>
    <w:r>
      <w:rPr>
        <w:rFonts w:ascii="Calibri" w:cs="Calibri" w:eastAsia="Calibri" w:hAnsi="Calibri"/>
        <w:color w:val="8C8C8C"/>
        <w:sz w:val="15"/>
        <w:szCs w:val="15"/>
      </w:rPr>
      <w:t xml:space="preserve">	Page </w:t>
    </w:r>
    <w:r>
      <w:rPr>
        <w:rFonts w:ascii="Calibri" w:cs="Calibri" w:eastAsia="Calibri" w:hAnsi="Calibri"/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C8C8C"/>
        <w:sz w:val="15"/>
        <w:szCs w:val="15"/>
      </w:rPr>
      <w:t xml:space="preserve"> of </w:t>
    </w:r>
    <w:r>
      <w:rPr>
        <w:rFonts w:ascii="Calibri" w:cs="Calibri" w:eastAsia="Calibri" w:hAnsi="Calibri"/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tabs>
        <w:tab w:val="right" w:pos="9840"/>
      </w:tabs>
      <w:spacing w:after="60"/>
    </w:pPr>
    <w:r>
      <w:rPr>
        <w:rFonts w:ascii="Calibri" w:cs="Calibri" w:eastAsia="Calibri" w:hAnsi="Calibri"/>
        <w:b/>
        <w:bCs/>
        <w:color w:val="E61A27"/>
        <w:sz w:val="16"/>
        <w:szCs w:val="16"/>
      </w:rPr>
      <w:t xml:space="preserve">Coca-Cola Bottlers Japan</w:t>
    </w:r>
    <w:r>
      <w:rPr>
        <w:rFonts w:ascii="Calibri" w:cs="Calibri" w:eastAsia="Calibri" w:hAnsi="Calibri"/>
        <w:color w:val="8C8C8C"/>
        <w:sz w:val="16"/>
        <w:szCs w:val="16"/>
      </w:rPr>
      <w:t xml:space="preserve">	DSD Route Settlement — Classic to RAP Conversion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61A27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DSD Route Settlement Details — Classic to RAP Conversion (Executive Briefing)</dc:title>
  <dc:creator>Coca-Cola Bottlers Japan — SAP Modernization</dc:creator>
  <dc:description>Executive summary of the classic ABAP report to SAP RAP + Fiori conversion</dc:description>
  <cp:lastModifiedBy>Un-named</cp:lastModifiedBy>
  <cp:revision>1</cp:revision>
  <dcterms:created xsi:type="dcterms:W3CDTF">2026-08-25T06:23:57.089Z</dcterms:created>
  <dcterms:modified xsi:type="dcterms:W3CDTF">2026-08-25T06:23:57.089Z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