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900"/>
      </w:pPr>
    </w:p>
    <w:tbl>
      <w:tblPr>
        <w:tblW w:type="dxa" w:w="984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9840"/>
      </w:tblGrid>
      <w:tr>
        <w:tc>
          <w:tcPr>
            <w:tcW w:type="dxa" w:w="9840"/>
            <w:shd w:fill="C8102E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pacing w:val="40"/>
                <w:sz w:val="26"/>
                <w:szCs w:val="26"/>
              </w:rPr>
              <w:t xml:space="preserve">SOLUTION DOCUMENTATION</w:t>
            </w:r>
          </w:p>
        </w:tc>
      </w:tr>
    </w:tbl>
    <w:p>
      <w:pPr>
        <w:spacing w:after="100" w:before="360"/>
      </w:pPr>
      <w:r>
        <w:rPr>
          <w:rFonts w:ascii="Calibri" w:cs="Calibri" w:eastAsia="Calibri" w:hAnsi="Calibri"/>
          <w:b/>
          <w:bCs/>
          <w:color w:val="1A1A1A"/>
          <w:sz w:val="54"/>
          <w:szCs w:val="54"/>
        </w:rPr>
        <w:t xml:space="preserve">Settlement Details</w:t>
      </w:r>
    </w:p>
    <w:p>
      <w:pPr>
        <w:spacing w:after="40"/>
      </w:pPr>
      <w:r>
        <w:rPr>
          <w:rFonts w:ascii="Calibri" w:cs="Calibri" w:eastAsia="Calibri" w:hAnsi="Calibri"/>
          <w:color w:val="595959"/>
          <w:sz w:val="32"/>
          <w:szCs w:val="32"/>
        </w:rPr>
        <w:t xml:space="preserve">Classic ABAP Report to SAP RAP + Fiori Conversion</w:t>
      </w:r>
    </w:p>
    <w:p>
      <w:pPr>
        <w:spacing w:after="460"/>
      </w:pPr>
      <w:r>
        <w:rPr>
          <w:rFonts w:ascii="Calibri" w:cs="Calibri" w:eastAsia="Calibri" w:hAnsi="Calibri"/>
          <w:i/>
          <w:iCs/>
          <w:color w:val="8C8C8C"/>
          <w:sz w:val="22"/>
          <w:szCs w:val="22"/>
        </w:rPr>
        <w:t xml:space="preserve">SAP S/4HANA · RAP Custom Entity · OData V4 · Fiori Elements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700"/>
        <w:gridCol w:w="7140"/>
      </w:tblGrid>
      <w:tr>
        <w:trPr>
          <w:tblHeader/>
        </w:trPr>
        <w:tc>
          <w:tcPr>
            <w:tcW w:type="dxa" w:w="27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714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title</w:t>
            </w:r>
          </w:p>
        </w:tc>
        <w:tc>
          <w:tcPr>
            <w:tcW w:type="dxa" w:w="71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Settlement Details</w:t>
            </w:r>
          </w:p>
        </w:tc>
      </w:tr>
      <w:tr>
        <w:tc>
          <w:tcPr>
            <w:tcW w:type="dxa" w:w="27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Source object</w:t>
            </w:r>
          </w:p>
        </w:tc>
        <w:tc>
          <w:tcPr>
            <w:tcW w:type="dxa" w:w="71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/CCBJI/RDSDFSVG_STLMNT_DETAILS (classic ABAP SALV report)</w:t>
            </w:r>
          </w:p>
        </w:tc>
      </w:tr>
      <w:t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Target platform</w:t>
            </w:r>
          </w:p>
        </w:tc>
        <w:tc>
          <w:tcPr>
            <w:tcW w:type="dxa" w:w="71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S/4HANA · ABAP RESTful Application Programming (RAP) · Fiori Elements V4</w:t>
            </w:r>
          </w:p>
        </w:tc>
      </w:tr>
      <w:tr>
        <w:tc>
          <w:tcPr>
            <w:tcW w:type="dxa" w:w="27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71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Solution overview &amp; documentation</w:t>
            </w:r>
          </w:p>
        </w:tc>
      </w:tr>
      <w:tr>
        <w:tc>
          <w:tcPr>
            <w:tcW w:type="dxa" w:w="27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71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Internal</w:t>
            </w:r>
          </w:p>
        </w:tc>
      </w:tr>
      <w:tr>
        <w:tc>
          <w:tcPr>
            <w:tcW w:type="dxa" w:w="27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Version / Date</w:t>
            </w:r>
          </w:p>
        </w:tc>
        <w:tc>
          <w:tcPr>
            <w:tcW w:type="dxa" w:w="71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1.0 · 25 August 2026</w:t>
            </w:r>
          </w:p>
        </w:tc>
      </w:tr>
    </w:tbl>
    <w:p>
      <w:pPr>
        <w:sectPr>
          <w:pgSz w:w="12240" w:h="15840" w:orient="portrait"/>
          <w:pgMar w:top="1080" w:right="1200" w:bottom="1080" w:left="1200" w:header="708" w:footer="708" w:gutter="0"/>
          <w:pgNumType/>
          <w:docGrid w:linePitch="360"/>
        </w:sectPr>
      </w:pP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1.  Purpose &amp; Overview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Settlement Details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report is a business-critical tool used by Coca-Cola Bottlers Japan to review the financial and operational settlement of Direct Store Delivery (DSD) routes — covering tours, customer visits, sales and replenishment, cash and payments, stock differences, and the underlying accounting documents. Historically it was delivered as a classic ABAP list report, accessible only through the SAP GUI.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This initiative rebuilds that report as a modern, web-based SAP Fiori application on SAP's strategic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RAP (ABAP RESTful Application Programming)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 model, consumed through an OData V4 service. All nine reporting perspectives of the original program are preserved, while the user experience, accessibility, and maintainability are brought in line with SAP S/4HANA and Clean Core standards.</w:t>
      </w: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Importantly, </w:t>
      </w: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no data is duplicated or migrated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. The RAP query class reproduces the classic read logic on demand — the same tables, derivations, Japanese-Yen currency handling and Japan-local-time conversions — and simply presents the result through a modern interface.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2.  Business Context &amp; Objectives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Direct Store Delivery settlement is where the day's route activity is reconciled: what was planned, delivered, returned, sold, collected in cash, and posted to finance. The classic report gave power users a single place to inspect all of this — but its SAP GUI-only delivery increasingly conflicts with the company's move to S/4HANA, browser-first ways of working, and the SAP Clean Core strategy.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400"/>
        <w:gridCol w:w="6440"/>
      </w:tblGrid>
      <w:tr>
        <w:trPr>
          <w:tblHeader/>
        </w:trPr>
        <w:tc>
          <w:tcPr>
            <w:tcW w:type="dxa" w:w="34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W w:type="dxa" w:w="644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Outcome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Preserve business functionality</w:t>
            </w:r>
          </w:p>
        </w:tc>
        <w:tc>
          <w:tcPr>
            <w:tcW w:type="dxa" w:w="6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All nine report perspectives reproduced with matching columns and values.</w:t>
            </w:r>
          </w:p>
        </w:tc>
      </w:tr>
      <w:tr>
        <w:tc>
          <w:tcPr>
            <w:tcW w:type="dxa" w:w="34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Modernize the user experience</w:t>
            </w:r>
          </w:p>
        </w:tc>
        <w:tc>
          <w:tcPr>
            <w:tcW w:type="dxa" w:w="64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Delivered as a responsive SAP Fiori application (List Report + Object Page).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Adopt SAP's strategic model</w:t>
            </w:r>
          </w:p>
        </w:tc>
        <w:tc>
          <w:tcPr>
            <w:tcW w:type="dxa" w:w="6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Rebuilt on RAP with released CDS views and an OData V4 service.</w:t>
            </w:r>
          </w:p>
        </w:tc>
      </w:tr>
      <w:tr>
        <w:tc>
          <w:tcPr>
            <w:tcW w:type="dxa" w:w="34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Protect the upgrade path</w:t>
            </w:r>
          </w:p>
        </w:tc>
        <w:tc>
          <w:tcPr>
            <w:tcW w:type="dxa" w:w="64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No modifications to SAP standard; Clean Core-aligned custom namespace only.</w:t>
            </w:r>
          </w:p>
        </w:tc>
      </w:tr>
      <w:tr>
        <w:tc>
          <w:tcPr>
            <w:tcW w:type="dxa" w:w="34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Enable downstream reuse</w:t>
            </w:r>
          </w:p>
        </w:tc>
        <w:tc>
          <w:tcPr>
            <w:tcW w:type="dxa" w:w="64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 data available as a governed, re-usable API service.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3.  Scope — The Nine Perspectives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report presents nine distinct perspectives on a settlement, selectable by the user. Every one has been carried across, each with its own tailored column layout in the new application: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"/>
        <w:gridCol w:w="2900"/>
        <w:gridCol w:w="6380"/>
      </w:tblGrid>
      <w:tr>
        <w:trPr>
          <w:tblHeader/>
        </w:trPr>
        <w:tc>
          <w:tcPr>
            <w:tcW w:type="dxa" w:w="56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9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Report perspective</w:t>
            </w:r>
          </w:p>
        </w:tc>
        <w:tc>
          <w:tcPr>
            <w:tcW w:type="dxa" w:w="638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What it shows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1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Tour Details</w:t>
            </w:r>
          </w:p>
        </w:tc>
        <w:tc>
          <w:tcPr>
            <w:tcW w:type="dxa" w:w="6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Route, driver, tour status, exceptions and processing status.</w:t>
            </w:r>
          </w:p>
        </w:tc>
      </w:tr>
      <w:tr>
        <w:tc>
          <w:tcPr>
            <w:tcW w:type="dxa" w:w="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2</w:t>
            </w:r>
          </w:p>
        </w:tc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Visit Details</w:t>
            </w:r>
          </w:p>
        </w:tc>
        <w:tc>
          <w:tcPr>
            <w:tcW w:type="dxa" w:w="6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Per-customer visit data, account and business attributes, visit status.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3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Sales / Replenishment</w:t>
            </w:r>
          </w:p>
        </w:tc>
        <w:tc>
          <w:tcPr>
            <w:tcW w:type="dxa" w:w="6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Sales and replenishment order lines, quantities, conditions and amounts.</w:t>
            </w:r>
          </w:p>
        </w:tc>
      </w:tr>
      <w:tr>
        <w:tc>
          <w:tcPr>
            <w:tcW w:type="dxa" w:w="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4</w:t>
            </w:r>
          </w:p>
        </w:tc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Payment Details</w:t>
            </w:r>
          </w:p>
        </w:tc>
        <w:tc>
          <w:tcPr>
            <w:tcW w:type="dxa" w:w="6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Cash and card payments with the full FI accounting-document detail.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5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Check-Out / Check-In</w:t>
            </w:r>
          </w:p>
        </w:tc>
        <w:tc>
          <w:tcPr>
            <w:tcW w:type="dxa" w:w="6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Planned vs. counted stock at load-out and return.</w:t>
            </w:r>
          </w:p>
        </w:tc>
      </w:tr>
      <w:tr>
        <w:tc>
          <w:tcPr>
            <w:tcW w:type="dxa" w:w="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6</w:t>
            </w:r>
          </w:p>
        </w:tc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Money Differences</w:t>
            </w:r>
          </w:p>
        </w:tc>
        <w:tc>
          <w:tcPr>
            <w:tcW w:type="dxa" w:w="6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Cash check-out vs. check-in reconciliation and difference amounts.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7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Quantity Differences</w:t>
            </w:r>
          </w:p>
        </w:tc>
        <w:tc>
          <w:tcPr>
            <w:tcW w:type="dxa" w:w="6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Target, delivered, returned and final stock quantity variances.</w:t>
            </w:r>
          </w:p>
        </w:tc>
      </w:tr>
      <w:tr>
        <w:tc>
          <w:tcPr>
            <w:tcW w:type="dxa" w:w="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8</w:t>
            </w:r>
          </w:p>
        </w:tc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FSR Documents</w:t>
            </w:r>
          </w:p>
        </w:tc>
        <w:tc>
          <w:tcPr>
            <w:tcW w:type="dxa" w:w="6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The full document chain: sales order → delivery → invoice → accounting / material document, incl. intercompany.</w:t>
            </w:r>
          </w:p>
        </w:tc>
      </w:tr>
      <w:tr>
        <w:tc>
          <w:tcPr>
            <w:tcW w:type="dxa" w:w="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9</w:t>
            </w:r>
          </w:p>
        </w:tc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 (Cash) Summary</w:t>
            </w:r>
          </w:p>
        </w:tc>
        <w:tc>
          <w:tcPr>
            <w:tcW w:type="dxa" w:w="6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Aggregated cash position: banked, theoretical, differences and driver settlement.</w:t>
            </w:r>
          </w:p>
        </w:tc>
      </w:tr>
    </w:tbl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4.  Solution Architecture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report logic was re-engineered from classic ABAP list processing into a layered RAP application. Data is retrieved on demand by a query provider, shaped by a CDS data model, exposed as an OData service, and rendered by a standard SAP Fiori Elements application — with no hand-coded UI.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1900"/>
        <w:gridCol w:w="3560"/>
        <w:gridCol w:w="4380"/>
      </w:tblGrid>
      <w:tr>
        <w:trPr>
          <w:tblHeader/>
        </w:trPr>
        <w:tc>
          <w:tcPr>
            <w:tcW w:type="dxa" w:w="19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56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438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User Interface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Fiori Elements V4 — List Report &amp; Object Page</w:t>
            </w:r>
          </w:p>
        </w:tc>
        <w:tc>
          <w:tcPr>
            <w:tcW w:type="dxa" w:w="4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/ mobile UI; per-mode column and field layouts.</w:t>
            </w:r>
          </w:p>
        </w:tc>
      </w:tr>
      <w:tr>
        <w:tc>
          <w:tcPr>
            <w:tcW w:type="dxa" w:w="1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</w:t>
            </w:r>
          </w:p>
        </w:tc>
        <w:tc>
          <w:tcPr>
            <w:tcW w:type="dxa" w:w="3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Service Definition &amp; Binding (OData V4)</w:t>
            </w:r>
          </w:p>
        </w:tc>
        <w:tc>
          <w:tcPr>
            <w:tcW w:type="dxa" w:w="4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Governed, re-usable API endpoint.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Model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CDS custom entity + UI metadata extension</w:t>
            </w:r>
          </w:p>
        </w:tc>
        <w:tc>
          <w:tcPr>
            <w:tcW w:type="dxa" w:w="4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Defines fields, labels, and Fiori annotations.</w:t>
            </w:r>
          </w:p>
        </w:tc>
      </w:tr>
      <w:tr>
        <w:tc>
          <w:tcPr>
            <w:tcW w:type="dxa" w:w="1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Logic</w:t>
            </w:r>
          </w:p>
        </w:tc>
        <w:tc>
          <w:tcPr>
            <w:tcW w:type="dxa" w:w="35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RAP query class /CCBJI/CL_FSV_STLMNT_QRY</w:t>
            </w:r>
          </w:p>
        </w:tc>
        <w:tc>
          <w:tcPr>
            <w:tcW w:type="dxa" w:w="43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Reproduces the nine-mode business logic on demand.</w:t>
            </w:r>
          </w:p>
        </w:tc>
      </w:tr>
      <w:tr>
        <w:tc>
          <w:tcPr>
            <w:tcW w:type="dxa" w:w="1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Value Helps</w:t>
            </w:r>
          </w:p>
        </w:tc>
        <w:tc>
          <w:tcPr>
            <w:tcW w:type="dxa" w:w="35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Released CDS value-help views</w:t>
            </w:r>
          </w:p>
        </w:tc>
        <w:tc>
          <w:tcPr>
            <w:tcW w:type="dxa" w:w="43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Plant, route, shipment, status and mode filters.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5.  Application Access &amp; Fiori Details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application is launched from the SAP Fiori Launchpad through its semantic object, or opened directly by URL. Its key registration details are: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2900"/>
        <w:gridCol w:w="6940"/>
      </w:tblGrid>
      <w:tr>
        <w:trPr>
          <w:tblHeader/>
        </w:trPr>
        <w:tc>
          <w:tcPr>
            <w:tcW w:type="dxa" w:w="29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694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title</w:t>
            </w:r>
          </w:p>
        </w:tc>
        <w:tc>
          <w:tcPr>
            <w:tcW w:type="dxa" w:w="69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A1A1A"/>
                <w:sz w:val="20"/>
                <w:szCs w:val="20"/>
              </w:rPr>
              <w:t xml:space="preserve">Settlement Details</w:t>
            </w:r>
          </w:p>
        </w:tc>
      </w:tr>
      <w:tr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Semantic object</w:t>
            </w:r>
          </w:p>
        </w:tc>
        <w:tc>
          <w:tcPr>
            <w:tcW w:type="dxa" w:w="69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SettlementDetail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Action</w:t>
            </w:r>
          </w:p>
        </w:tc>
        <w:tc>
          <w:tcPr>
            <w:tcW w:type="dxa" w:w="69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display</w:t>
            </w:r>
          </w:p>
        </w:tc>
      </w:tr>
      <w:tr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Navigation intent</w:t>
            </w:r>
          </w:p>
        </w:tc>
        <w:tc>
          <w:tcPr>
            <w:tcW w:type="dxa" w:w="69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SettlementDetail-display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URL</w:t>
            </w:r>
          </w:p>
        </w:tc>
        <w:tc>
          <w:tcPr>
            <w:tcW w:type="dxa" w:w="69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/sap/bc/ui5_ui5/ccbji/stlmnt</w:t>
            </w:r>
          </w:p>
        </w:tc>
      </w:tr>
      <w:tr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Application ID</w:t>
            </w:r>
          </w:p>
        </w:tc>
        <w:tc>
          <w:tcPr>
            <w:tcW w:type="dxa" w:w="69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onsolas" w:cs="Consolas" w:eastAsia="Consolas" w:hAnsi="Consolas"/>
                <w:color w:val="1A1A1A"/>
                <w:sz w:val="20"/>
                <w:szCs w:val="20"/>
              </w:rPr>
              <w:t xml:space="preserve">ccbji.otc.stlmnt</w:t>
            </w:r>
          </w:p>
        </w:tc>
      </w:tr>
      <w:tr>
        <w:tc>
          <w:tcPr>
            <w:tcW w:type="dxa" w:w="29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UI technology</w:t>
            </w:r>
          </w:p>
        </w:tc>
        <w:tc>
          <w:tcPr>
            <w:tcW w:type="dxa" w:w="69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Fiori Elements V4 — List Report + Object Page</w:t>
            </w:r>
          </w:p>
        </w:tc>
      </w:tr>
      <w:tr>
        <w:tc>
          <w:tcPr>
            <w:tcW w:type="dxa" w:w="29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Back-end service</w:t>
            </w:r>
          </w:p>
        </w:tc>
        <w:tc>
          <w:tcPr>
            <w:tcW w:type="dxa" w:w="69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OData V4 service exposing the Settlement Details custom entity</w:t>
            </w:r>
          </w:p>
        </w:tc>
      </w:tr>
    </w:tbl>
    <w:p>
      <w:pPr>
        <w:spacing w:after="140" w:line="276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Because the app is registered with a </w:t>
      </w: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semantic object (SettlementDetail)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and the </w:t>
      </w:r>
      <w:r>
        <w:rPr>
          <w:rFonts w:ascii="Consolas" w:cs="Consolas" w:eastAsia="Consolas" w:hAnsi="Consolas"/>
          <w:i/>
          <w:iCs/>
          <w:color w:val="595959"/>
          <w:sz w:val="20"/>
          <w:szCs w:val="20"/>
        </w:rPr>
        <w:t xml:space="preserve">display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action, it can be added to any Fiori Launchpad role or catalog, cross-linked from other apps, and deep-linked from reports or e-mails.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6.  Use Cases — Who Uses It and How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single application serves several business roles, each using the perspective most relevant to their work: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6740"/>
      </w:tblGrid>
      <w:tr>
        <w:trPr>
          <w:tblHeader/>
        </w:trPr>
        <w:tc>
          <w:tcPr>
            <w:tcW w:type="dxa" w:w="31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Business role</w:t>
            </w:r>
          </w:p>
        </w:tc>
        <w:tc>
          <w:tcPr>
            <w:tcW w:type="dxa" w:w="674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Typical use case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Cash office / settlement clerk</w:t>
            </w:r>
          </w:p>
        </w:tc>
        <w:tc>
          <w:tcPr>
            <w:tcW w:type="dxa" w:w="67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Reconcile the day's cash before posting — check banked-in amounts, theoretical cash and differences per route (Route Summary, Money &amp; Payment).</w:t>
            </w:r>
          </w:p>
        </w:tc>
      </w:tr>
      <w:tr>
        <w:tc>
          <w:tcPr>
            <w:tcW w:type="dxa" w:w="31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Route manager / supervisor</w:t>
            </w:r>
          </w:p>
        </w:tc>
        <w:tc>
          <w:tcPr>
            <w:tcW w:type="dxa" w:w="67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Review tour and visit status at a glance via traffic-light indicators; spot exceptions and follow up on flagged routes (Tour &amp; Visit Details).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Finance / accounting</w:t>
            </w:r>
          </w:p>
        </w:tc>
        <w:tc>
          <w:tcPr>
            <w:tcW w:type="dxa" w:w="67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Trace the complete FSR document chain — order → delivery → invoice → accounting and material document, incl. intercompany — for reconciliation and audit (FSR Documents, Payment).</w:t>
            </w:r>
          </w:p>
        </w:tc>
      </w:tr>
      <w:tr>
        <w:tc>
          <w:tcPr>
            <w:tcW w:type="dxa" w:w="31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Sales operations</w:t>
            </w:r>
          </w:p>
        </w:tc>
        <w:tc>
          <w:tcPr>
            <w:tcW w:type="dxa" w:w="67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Verify sold and replenished quantities, promotions and free goods per customer visit (Sales / Replenishment).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Warehouse / logistics</w:t>
            </w:r>
          </w:p>
        </w:tc>
        <w:tc>
          <w:tcPr>
            <w:tcW w:type="dxa" w:w="67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Analyze load-out vs. return stock and quantity variances (Check-Out/In, Quantity Differences).</w:t>
            </w:r>
          </w:p>
        </w:tc>
      </w:tr>
      <w:tr>
        <w:tc>
          <w:tcPr>
            <w:tcW w:type="dxa" w:w="31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Controllers / auditors</w:t>
            </w:r>
          </w:p>
        </w:tc>
        <w:tc>
          <w:tcPr>
            <w:tcW w:type="dxa" w:w="67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Investigate money differences and driver credit / debit settlement with the underlying FI posting lines (Money Differences, Payment).</w:t>
            </w:r>
          </w:p>
        </w:tc>
      </w:tr>
    </w:tbl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Common day-to-day tasks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Open the app, pick a report mode, filter by plant, route, date or status, and review the results — all in the browser.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Click a line to drill into its full detail on the Object Page (e.g. every FI posting line behind a payment).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Export a filtered view to a spreadsheet for offline analysis or sharing.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Save a personal filter variant (e.g. "my routes, today, red status only") for one-click reuse.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7.  User Experience &amp; Ease of Use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application is built entirely on the standard SAP Fiori design language, so it looks and behaves like every other Fiori app in the S/4HANA landscape. This makes it immediately familiar and requires little to no training.</w:t>
      </w:r>
    </w:p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What makes it easy to use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 app, nine views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switch perspective from a single selector; the app automatically shows only the columns relevant to the chosen mode, so screens never feel cluttered.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Familiar Fiori experience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consistent header, filter bar, table and detail layout that users already know from other S/4HANA apps.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Powerful, guided filtering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 smart filter bar with value helps for plant, route, shipment, status and mode; type-ahead and dropdowns prevent invalid entries.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Personalization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show/hide and reorder columns, sort and group, and save personal view variants; each user tailors the app to their own routine.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Instant visual triage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traffic-light status icons (green / amber / red) let users see problem routes at a glance without reading every field.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Drill-down detail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tap any row to open a full Object Page with all fields for that settlement line, including the FI posting detail.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Any device, anywhere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responsive design works on desktop, tablet and mobile browsers; no SAP GUI and no client software to install.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One-click export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send the current view to a spreadsheet for further analysis or distribution.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Launchpad integration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appears as a normal Fiori tile, is searchable, and can be deep-linked or embedded via its semantic object.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Accessibility built in —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keyboard navigation, screen-reader support and theming come from the Fiori framework.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8B0A1E"/>
          <w:sz w:val="21"/>
          <w:szCs w:val="21"/>
        </w:rPr>
        <w:t xml:space="preserve">Net effect: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users get the same rich settlement information as before, but in a faster, cleaner, self-service interface that reduces clicks, errors and the need for support.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8.  S/4HANA Modernization Highlights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Beyond a like-for-like rebuild, the conversion adopts current S/4HANA data foundations, replacing legacy tables and access methods with their strategic successors: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3100"/>
        <w:gridCol w:w="3260"/>
        <w:gridCol w:w="3480"/>
      </w:tblGrid>
      <w:tr>
        <w:trPr>
          <w:tblHeader/>
        </w:trPr>
        <w:tc>
          <w:tcPr>
            <w:tcW w:type="dxa" w:w="31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Legacy approach</w:t>
            </w:r>
          </w:p>
        </w:tc>
        <w:tc>
          <w:tcPr>
            <w:tcW w:type="dxa" w:w="326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Modernized to</w:t>
            </w:r>
          </w:p>
        </w:tc>
        <w:tc>
          <w:tcPr>
            <w:tcW w:type="dxa" w:w="348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Benefit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Material document tables (MKPF/MSEG)</w:t>
            </w:r>
          </w:p>
        </w:tc>
        <w:tc>
          <w:tcPr>
            <w:tcW w:type="dxa" w:w="3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MATDOC universal material document</w:t>
            </w:r>
          </w:p>
        </w:tc>
        <w:tc>
          <w:tcPr>
            <w:tcW w:type="dxa" w:w="34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Aligned with the S/4HANA simplified data model.</w:t>
            </w:r>
          </w:p>
        </w:tc>
      </w:tr>
      <w:tr>
        <w:tc>
          <w:tcPr>
            <w:tcW w:type="dxa" w:w="31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Direct BSEG / RFC document reads</w:t>
            </w:r>
          </w:p>
        </w:tc>
        <w:tc>
          <w:tcPr>
            <w:tcW w:type="dxa" w:w="32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Released FI interfaces &amp; standard function modules</w:t>
            </w:r>
          </w:p>
        </w:tc>
        <w:tc>
          <w:tcPr>
            <w:tcW w:type="dxa" w:w="34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Supported, upgrade-safe accounting access.</w:t>
            </w:r>
          </w:p>
        </w:tc>
      </w:tr>
      <w:tr>
        <w:tc>
          <w:tcPr>
            <w:tcW w:type="dxa" w:w="31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SAP GUI ALV list output</w:t>
            </w:r>
          </w:p>
        </w:tc>
        <w:tc>
          <w:tcPr>
            <w:tcW w:type="dxa" w:w="326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Fiori Elements List Report &amp; Object Page</w:t>
            </w:r>
          </w:p>
        </w:tc>
        <w:tc>
          <w:tcPr>
            <w:tcW w:type="dxa" w:w="348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Browser and mobile access; modern UX.</w:t>
            </w:r>
          </w:p>
        </w:tc>
      </w:tr>
      <w:tr>
        <w:tc>
          <w:tcPr>
            <w:tcW w:type="dxa" w:w="31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Report-embedded logic</w:t>
            </w:r>
          </w:p>
        </w:tc>
        <w:tc>
          <w:tcPr>
            <w:tcW w:type="dxa" w:w="326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Re-usable OData V4 service</w:t>
            </w:r>
          </w:p>
        </w:tc>
        <w:tc>
          <w:tcPr>
            <w:tcW w:type="dxa" w:w="348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Consumable by analytics and other apps.</w:t>
            </w:r>
          </w:p>
        </w:tc>
      </w:tr>
    </w:tbl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9.  Business Benefits</w:t>
      </w:r>
    </w:p>
    <w:p>
      <w:pPr>
        <w:pBdr>
          <w:bottom w:val="single" w:color="C8102E" w:sz="12" w:space="1"/>
        </w:pBdr>
        <w:spacing w:after="120"/>
      </w:pPr>
    </w:p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Strategic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Aligns a key operational report with SAP's target architecture and Clean Core principles, protecting future upgrades and the S/4HANA roadmap.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Establishes a re-usable pattern and template for modernizing further classic reports across the DSD landscape.</w:t>
      </w:r>
    </w:p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Operational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Anytime, anywhere access from a browser or mobile device — no SAP GUI installation or training.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Consistent, intuitive Fiori experience with filtering, sorting, personalization and drill-down out of the box.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Lower total cost of ownership through reduced training, simpler support, and standard tooling.</w:t>
      </w:r>
    </w:p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Data &amp; Analytics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Settlement data is now a governed API, ready to feed management dashboards, KPI reporting and integration scenarios.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 single source of logic reduces the risk of divergent report versions.</w:t>
      </w:r>
    </w:p>
    <w:p>
      <w:r>
        <w:br w:type="page"/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10.  Quality &amp; Functional Fidelity</w:t>
      </w:r>
    </w:p>
    <w:p>
      <w:pPr>
        <w:pBdr>
          <w:bottom w:val="single" w:color="C8102E" w:sz="12" w:space="1"/>
        </w:pBdr>
        <w:spacing w:after="120"/>
      </w:pPr>
    </w:p>
    <w:p>
      <w:pPr>
        <w:spacing w:after="140" w:line="276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conversion was validated perspective-by-perspective against the classic report using live business data, with iterative side-by-side comparison of columns, labels, values and record counts. Areas given particular attention included: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Correct record generation for multi-line perspectives (e.g. payments producing one row per accounting line item).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The complete FSR document chain, including intercompany invoice and finance documents.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Accurate cash aggregation for the Route Summary, and money / quantity difference calculations.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Japan-timezone treatment of created and changed dates to match the SAP GUI to the day.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Faithful currency handling for Japanese Yen amounts.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8B0A1E"/>
          <w:sz w:val="21"/>
          <w:szCs w:val="21"/>
        </w:rPr>
        <w:t xml:space="preserve">Result: 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the Fiori application reproduces the classic report's content across all nine perspectives, presented through a modern, self-service interface.</w:t>
      </w:r>
    </w:p>
    <w:p>
      <w:pPr>
        <w:pStyle w:val="Heading1"/>
        <w:spacing w:after="130" w:before="260"/>
      </w:pPr>
      <w:r>
        <w:rPr>
          <w:rFonts w:ascii="Calibri" w:cs="Calibri" w:eastAsia="Calibri" w:hAnsi="Calibri"/>
          <w:b/>
          <w:bCs/>
          <w:color w:val="C8102E"/>
          <w:sz w:val="30"/>
          <w:szCs w:val="30"/>
        </w:rPr>
        <w:t xml:space="preserve">11.  Delivery Status &amp; Next Steps</w:t>
      </w:r>
    </w:p>
    <w:p>
      <w:pPr>
        <w:pBdr>
          <w:bottom w:val="single" w:color="C8102E" w:sz="12" w:space="1"/>
        </w:pBdr>
        <w:spacing w:after="120"/>
      </w:pPr>
    </w:p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Status</w:t>
      </w:r>
    </w:p>
    <w:tbl>
      <w:tblPr>
        <w:tblW w:type="dxa" w:w="9840"/>
        <w:tblBorders>
          <w:top w:val="single" w:color="D9D9D9" w:sz="4"/>
          <w:left w:val="single" w:color="D9D9D9" w:sz="4"/>
          <w:bottom w:val="single" w:color="D9D9D9" w:sz="4"/>
          <w:right w:val="single" w:color="D9D9D9" w:sz="4"/>
          <w:insideH w:val="single" w:color="D9D9D9" w:sz="4"/>
          <w:insideV w:val="single" w:color="D9D9D9" w:sz="4"/>
        </w:tblBorders>
      </w:tblPr>
      <w:tblGrid>
        <w:gridCol w:w="5600"/>
        <w:gridCol w:w="4240"/>
      </w:tblGrid>
      <w:tr>
        <w:trPr>
          <w:tblHeader/>
        </w:trPr>
        <w:tc>
          <w:tcPr>
            <w:tcW w:type="dxa" w:w="560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Workstream</w:t>
            </w:r>
          </w:p>
        </w:tc>
        <w:tc>
          <w:tcPr>
            <w:tcW w:type="dxa" w:w="4240"/>
            <w:shd w:fill="C810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5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Data model &amp; CDS custom entity</w:t>
            </w:r>
          </w:p>
        </w:tc>
        <w:tc>
          <w:tcPr>
            <w:tcW w:type="dxa" w:w="42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6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RAP query logic (all 9 perspectives)</w:t>
            </w:r>
          </w:p>
        </w:tc>
        <w:tc>
          <w:tcPr>
            <w:tcW w:type="dxa" w:w="42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60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OData service &amp; Fiori application</w:t>
            </w:r>
          </w:p>
        </w:tc>
        <w:tc>
          <w:tcPr>
            <w:tcW w:type="dxa" w:w="4240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  <w:tr>
        <w:tc>
          <w:tcPr>
            <w:tcW w:type="dxa" w:w="560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color w:val="1A1A1A"/>
                <w:sz w:val="20"/>
                <w:szCs w:val="20"/>
              </w:rPr>
              <w:t xml:space="preserve">Business validation vs. classic report</w:t>
            </w:r>
          </w:p>
        </w:tc>
        <w:tc>
          <w:tcPr>
            <w:tcW w:type="dxa" w:w="4240"/>
            <w:shd w:fill="F3F3F3" w:color="auto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2E7D32"/>
                <w:sz w:val="20"/>
                <w:szCs w:val="20"/>
              </w:rPr>
              <w:t xml:space="preserve">Completed</w:t>
            </w:r>
          </w:p>
        </w:tc>
      </w:tr>
    </w:tbl>
    <w:p>
      <w:pPr>
        <w:pStyle w:val="Heading2"/>
        <w:spacing w:after="90" w:before="170"/>
      </w:pPr>
      <w:r>
        <w:rPr>
          <w:rFonts w:ascii="Calibri" w:cs="Calibri" w:eastAsia="Calibri" w:hAnsi="Calibri"/>
          <w:b/>
          <w:bCs/>
          <w:color w:val="8B0A1E"/>
          <w:sz w:val="24"/>
          <w:szCs w:val="24"/>
        </w:rPr>
        <w:t xml:space="preserve">Recommended next steps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Roll out to a pilot user group, then to the wider route-settlement community.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Use the delivered pattern as the blueprint for modernizing the remaining classic DSD reports.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Assess opportunities to surface the new settlement service in management dashboards and KPI reporting.</w:t>
      </w:r>
    </w:p>
    <w:p>
      <w:pPr>
        <w:pStyle w:val="ListParagraph"/>
        <w:numPr>
          <w:ilvl w:val="0"/>
          <w:numId w:val="2"/>
        </w:numPr>
        <w:spacing w:after="70" w:line="268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Add the Fiori tile to the relevant Launchpad roles and catalogs for target users.</w:t>
      </w:r>
    </w:p>
    <w:p>
      <w:pPr>
        <w:pBdr>
          <w:top w:val="single" w:color="C8102E" w:sz="12" w:space="6"/>
        </w:pBdr>
        <w:spacing w:before="280"/>
      </w:pPr>
    </w:p>
    <w:p>
      <w:pPr>
        <w:spacing w:before="120"/>
      </w:pPr>
      <w:r>
        <w:rPr>
          <w:rFonts w:ascii="Calibri" w:cs="Calibri" w:eastAsia="Calibri" w:hAnsi="Calibri"/>
          <w:i/>
          <w:iCs/>
          <w:color w:val="8C8C8C"/>
          <w:sz w:val="18"/>
          <w:szCs w:val="18"/>
        </w:rPr>
        <w:t xml:space="preserve">Prepared by the SAP Modernization team.  For questions on this document, contact the S/4HANA DSD workstream lead.</w:t>
      </w:r>
    </w:p>
    <w:sectPr>
      <w:headerReference w:type="default" r:id="rId7"/>
      <w:footerReference w:type="default" r:id="rId8"/>
      <w:pgSz w:w="12240" w:h="15840" w:orient="portrait"/>
      <w:pgMar w:top="1260" w:right="1200" w:bottom="116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D9D9" w:sz="6" w:space="4"/>
      </w:pBdr>
      <w:tabs>
        <w:tab w:val="right" w:pos="9840"/>
      </w:tabs>
      <w:spacing w:before="60"/>
    </w:pPr>
    <w:r>
      <w:rPr>
        <w:rFonts w:ascii="Calibri" w:cs="Calibri" w:eastAsia="Calibri" w:hAnsi="Calibri"/>
        <w:color w:val="8C8C8C"/>
        <w:sz w:val="15"/>
        <w:szCs w:val="15"/>
      </w:rPr>
      <w:t xml:space="preserve">Internal — Solution Documentation</w:t>
    </w:r>
    <w:r>
      <w:rPr>
        <w:rFonts w:ascii="Calibri" w:cs="Calibri" w:eastAsia="Calibri" w:hAnsi="Calibri"/>
        <w:color w:val="8C8C8C"/>
        <w:sz w:val="15"/>
        <w:szCs w:val="15"/>
      </w:rPr>
      <w:t xml:space="preserve">	Page </w:t>
    </w:r>
    <w:r>
      <w:rPr>
        <w:rFonts w:ascii="Calibri" w:cs="Calibri" w:eastAsia="Calibri" w:hAnsi="Calibri"/>
        <w:color w:val="8C8C8C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C8C8C"/>
        <w:sz w:val="15"/>
        <w:szCs w:val="15"/>
      </w:rPr>
      <w:t xml:space="preserve"> of </w:t>
    </w:r>
    <w:r>
      <w:rPr>
        <w:rFonts w:ascii="Calibri" w:cs="Calibri" w:eastAsia="Calibri" w:hAnsi="Calibri"/>
        <w:color w:val="8C8C8C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6" w:space="4"/>
      </w:pBdr>
      <w:tabs>
        <w:tab w:val="right" w:pos="9840"/>
      </w:tabs>
      <w:spacing w:after="60"/>
    </w:pPr>
    <w:r>
      <w:rPr>
        <w:rFonts w:ascii="Calibri" w:cs="Calibri" w:eastAsia="Calibri" w:hAnsi="Calibri"/>
        <w:b/>
        <w:bCs/>
        <w:color w:val="C8102E"/>
        <w:sz w:val="16"/>
        <w:szCs w:val="16"/>
      </w:rPr>
      <w:t xml:space="preserve">Coca-Cola Bottlers Japan</w:t>
    </w:r>
    <w:r>
      <w:rPr>
        <w:rFonts w:ascii="Calibri" w:cs="Calibri" w:eastAsia="Calibri" w:hAnsi="Calibri"/>
        <w:color w:val="8C8C8C"/>
        <w:sz w:val="16"/>
        <w:szCs w:val="16"/>
      </w:rPr>
      <w:t xml:space="preserve">	Settlement Details — Classic to RAP Conversion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C8102E"/>
      </w:r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Settlement Details — Classic to RAP Conversion (Solution Documentation)</dc:title>
  <dc:creator>Coca-Cola Bottlers Japan — SAP Modernization</dc:creator>
  <dc:description>Solution overview of the classic ABAP report to SAP RAP + Fiori conversion</dc:description>
  <cp:lastModifiedBy>Un-named</cp:lastModifiedBy>
  <cp:revision>1</cp:revision>
  <dcterms:created xsi:type="dcterms:W3CDTF">2026-08-25T06:43:54.805Z</dcterms:created>
  <dcterms:modified xsi:type="dcterms:W3CDTF">2026-08-25T06:43:54.818Z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