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D4ED8"/>
          <w:sz w:val="68"/>
        </w:rPr>
        <w:t>AIVORA</w:t>
      </w:r>
    </w:p>
    <w:p>
      <w:pPr>
        <w:jc w:val="center"/>
      </w:pPr>
      <w:r>
        <w:rPr>
          <w:b/>
          <w:color w:val="111827"/>
          <w:sz w:val="30"/>
        </w:rPr>
        <w:t>Financial Intelligence</w:t>
      </w:r>
    </w:p>
    <w:p>
      <w:pPr>
        <w:jc w:val="center"/>
      </w:pPr>
      <w:r>
        <w:rPr>
          <w:color w:val="6B7280"/>
          <w:sz w:val="22"/>
        </w:rPr>
        <w:t>Document Extraction, Grounded Analysis &amp; Evidence-Backed Reporting</w:t>
      </w:r>
    </w:p>
    <w:p>
      <w:pPr>
        <w:jc w:val="center"/>
      </w:pPr>
      <w:r>
        <w:rPr>
          <w:b/>
          <w:color w:val="111827"/>
          <w:sz w:val="26"/>
        </w:rPr>
        <w:t>Technical Documentation</w:t>
      </w:r>
    </w:p>
    <w:p>
      <w:pPr>
        <w:jc w:val="center"/>
      </w:pPr>
      <w:r>
        <w:rPr>
          <w:color w:val="6B7280"/>
          <w:sz w:val="18"/>
        </w:rPr>
        <w:t>Version 1.0  ·  5 October 2026  ·  Aivora Enterprise FY2025 workspace</w:t>
      </w:r>
    </w:p>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Reading note. Every figure, count and measurement in this document is taken from the repository or from this project's own evaluation reports, and each is labelled measured, inferred or unverified. Known limitations are stated in section 12 rather than omitted.</w:t>
            </w:r>
          </w:p>
        </w:tc>
      </w:tr>
    </w:tbl>
    <w:p/>
    <w:p>
      <w:pPr>
        <w:pStyle w:val="Heading1"/>
      </w:pPr>
      <w:r>
        <w:t>1. Executive Overview</w:t>
      </w:r>
    </w:p>
    <w:p>
      <w:pPr>
        <w:spacing w:after="160"/>
      </w:pPr>
      <w:r>
        <w:rPr>
          <w:i w:val="0"/>
          <w:sz w:val="20"/>
        </w:rPr>
        <w:t>Aivora is a financial intelligence application that reads company filings and answers questions about them. Its defining property is not that it answers, but that it refuses to answer without evidence: no figure is presented to a user unless it can be traced to a span of text in the source document, and no arithmetic is performed by a language model. Values are extracted with their source spans, validated in code, and every calculation is executed in Python.</w:t>
      </w:r>
    </w:p>
    <w:p>
      <w:pPr>
        <w:spacing w:after="160"/>
      </w:pPr>
      <w:r>
        <w:rPr>
          <w:i w:val="0"/>
          <w:sz w:val="20"/>
        </w:rPr>
        <w:t>The system comprises a browser interface of eight product areas, an HTTP API of 99 method-path routes over 82 endpoints, a service layer of routing, extraction, grounding and reporting modules, a document retrieval store, and a tool pipeline that enforces the evidence rules. It runs on CPU with no external service dependency.</w:t>
      </w:r>
    </w:p>
    <w:p>
      <w:pPr>
        <w:pStyle w:val="Heading2"/>
      </w:pPr>
      <w:r>
        <w:t>1.1 Purpose &amp; Use Cases</w:t>
      </w:r>
    </w:p>
    <w:p>
      <w:pPr>
        <w:pStyle w:val="ListBullet"/>
        <w:spacing w:after="60"/>
      </w:pPr>
      <w:r>
        <w:rPr>
          <w:sz w:val="20"/>
        </w:rPr>
        <w:t>Extraction of financial values from company filings, each bound to the span of source text it was read from.</w:t>
      </w:r>
    </w:p>
    <w:p>
      <w:pPr>
        <w:pStyle w:val="ListBullet"/>
        <w:spacing w:after="60"/>
      </w:pPr>
      <w:r>
        <w:rPr>
          <w:sz w:val="20"/>
        </w:rPr>
        <w:t>Deterministic calculation of financial ratios, performed in Python from extracted operands rather than generated by a model.</w:t>
      </w:r>
    </w:p>
    <w:p>
      <w:pPr>
        <w:pStyle w:val="ListBullet"/>
        <w:spacing w:after="60"/>
      </w:pPr>
      <w:r>
        <w:rPr>
          <w:sz w:val="20"/>
        </w:rPr>
        <w:t>Grounded document question answering, scoped so that a document can only answer for the company it belongs to.</w:t>
      </w:r>
    </w:p>
    <w:p>
      <w:pPr>
        <w:pStyle w:val="ListBullet"/>
        <w:spacing w:after="60"/>
      </w:pPr>
      <w:r>
        <w:rPr>
          <w:sz w:val="20"/>
        </w:rPr>
        <w:t>Explicit refusal when a filing does not contain the information asked for, including forward-looking questions no filing can answer.</w:t>
      </w:r>
    </w:p>
    <w:p>
      <w:pPr>
        <w:pStyle w:val="ListBullet"/>
        <w:spacing w:after="60"/>
      </w:pPr>
      <w:r>
        <w:rPr>
          <w:sz w:val="20"/>
        </w:rPr>
        <w:t>Period-over-period comparison that reports which lines have no prior-year figure instead of leaving them blank.</w:t>
      </w:r>
    </w:p>
    <w:p>
      <w:pPr>
        <w:pStyle w:val="ListBullet"/>
        <w:spacing w:after="60"/>
      </w:pPr>
      <w:r>
        <w:rPr>
          <w:sz w:val="20"/>
        </w:rPr>
        <w:t>Evidence-backed insights and exportable financial reports in which every stated number carries its formula, working and source document.</w:t>
      </w:r>
    </w:p>
    <w:p>
      <w:pPr>
        <w:pStyle w:val="ListBullet"/>
        <w:spacing w:after="60"/>
      </w:pPr>
      <w:r>
        <w:rPr>
          <w:sz w:val="20"/>
        </w:rPr>
        <w:t>Monitoring conditions on financial metrics, evaluated against the filing, with conditions the engine cannot compute refused at creation.</w:t>
      </w:r>
    </w:p>
    <w:p>
      <w:pPr>
        <w:pStyle w:val="Heading2"/>
      </w:pPr>
      <w:r>
        <w:t>1.2 Technology Stack</w:t>
      </w:r>
    </w:p>
    <w:tbl>
      <w:tblPr>
        <w:tblStyle w:val="TableGrid"/>
        <w:tblW w:type="auto" w:w="0"/>
        <w:jc w:val="center"/>
        <w:tblLook w:firstColumn="1" w:firstRow="1" w:lastColumn="0" w:lastRow="0" w:noHBand="0" w:noVBand="1" w:val="04A0"/>
      </w:tblPr>
      <w:tblGrid>
        <w:gridCol w:w="4896"/>
        <w:gridCol w:w="4896"/>
      </w:tblGrid>
      <w:tr>
        <w:tc>
          <w:tcPr>
            <w:tcW w:type="dxa" w:w="2880"/>
            <w:shd w:val="clear" w:fill="E8EDF5"/>
          </w:tcPr>
          <w:p>
            <w:r/>
            <w:r>
              <w:rPr>
                <w:b/>
                <w:color w:val="111827"/>
                <w:sz w:val="18"/>
              </w:rPr>
              <w:t>Category</w:t>
            </w:r>
          </w:p>
        </w:tc>
        <w:tc>
          <w:tcPr>
            <w:tcW w:type="dxa" w:w="6624"/>
            <w:shd w:val="clear" w:fill="E8EDF5"/>
          </w:tcPr>
          <w:p>
            <w:r/>
            <w:r>
              <w:rPr>
                <w:b/>
                <w:color w:val="111827"/>
                <w:sz w:val="18"/>
              </w:rPr>
              <w:t>Technology / Library</w:t>
            </w:r>
          </w:p>
        </w:tc>
      </w:tr>
      <w:tr>
        <w:tc>
          <w:tcPr>
            <w:tcW w:type="dxa" w:w="2880"/>
          </w:tcPr>
          <w:p>
            <w:r/>
            <w:r>
              <w:rPr>
                <w:sz w:val="18"/>
              </w:rPr>
              <w:t>Runtime</w:t>
            </w:r>
          </w:p>
        </w:tc>
        <w:tc>
          <w:tcPr>
            <w:tcW w:type="dxa" w:w="6624"/>
          </w:tcPr>
          <w:p>
            <w:r/>
            <w:r>
              <w:rPr>
                <w:sz w:val="18"/>
              </w:rPr>
              <w:t>Python 3.14, CPU-only deployment</w:t>
            </w:r>
          </w:p>
        </w:tc>
      </w:tr>
      <w:tr>
        <w:tc>
          <w:tcPr>
            <w:tcW w:type="dxa" w:w="2880"/>
          </w:tcPr>
          <w:p>
            <w:r/>
            <w:r>
              <w:rPr>
                <w:sz w:val="18"/>
              </w:rPr>
              <w:t>HTTP Server</w:t>
            </w:r>
          </w:p>
        </w:tc>
        <w:tc>
          <w:tcPr>
            <w:tcW w:type="dxa" w:w="6624"/>
          </w:tcPr>
          <w:p>
            <w:r/>
            <w:r>
              <w:rPr>
                <w:sz w:val="18"/>
              </w:rPr>
              <w:t>ThreadingHTTPServer (standard library) - no web framework</w:t>
            </w:r>
          </w:p>
        </w:tc>
      </w:tr>
      <w:tr>
        <w:tc>
          <w:tcPr>
            <w:tcW w:type="dxa" w:w="2880"/>
          </w:tcPr>
          <w:p>
            <w:r/>
            <w:r>
              <w:rPr>
                <w:sz w:val="18"/>
              </w:rPr>
              <w:t>Frontend</w:t>
            </w:r>
          </w:p>
        </w:tc>
        <w:tc>
          <w:tcPr>
            <w:tcW w:type="dxa" w:w="6624"/>
          </w:tcPr>
          <w:p>
            <w:r/>
            <w:r>
              <w:rPr>
                <w:sz w:val="18"/>
              </w:rPr>
              <w:t>Single-page HTML, CSS and vanilla JavaScript - no build step</w:t>
            </w:r>
          </w:p>
        </w:tc>
      </w:tr>
      <w:tr>
        <w:tc>
          <w:tcPr>
            <w:tcW w:type="dxa" w:w="2880"/>
          </w:tcPr>
          <w:p>
            <w:r/>
            <w:r>
              <w:rPr>
                <w:sz w:val="18"/>
              </w:rPr>
              <w:t>Deep Learning</w:t>
            </w:r>
          </w:p>
        </w:tc>
        <w:tc>
          <w:tcPr>
            <w:tcW w:type="dxa" w:w="6624"/>
          </w:tcPr>
          <w:p>
            <w:r/>
            <w:r>
              <w:rPr>
                <w:sz w:val="18"/>
              </w:rPr>
              <w:t>PyTorch 2.13 (CPU build)</w:t>
            </w:r>
          </w:p>
        </w:tc>
      </w:tr>
      <w:tr>
        <w:tc>
          <w:tcPr>
            <w:tcW w:type="dxa" w:w="2880"/>
          </w:tcPr>
          <w:p>
            <w:r/>
            <w:r>
              <w:rPr>
                <w:sz w:val="18"/>
              </w:rPr>
              <w:t>Local Model</w:t>
            </w:r>
          </w:p>
        </w:tc>
        <w:tc>
          <w:tcPr>
            <w:tcW w:type="dxa" w:w="6624"/>
          </w:tcPr>
          <w:p>
            <w:r/>
            <w:r>
              <w:rPr>
                <w:sz w:val="18"/>
              </w:rPr>
              <w:t>DeepSeekV3-architecture model trained in this repository, 101.7M parameters</w:t>
            </w:r>
          </w:p>
        </w:tc>
      </w:tr>
      <w:tr>
        <w:tc>
          <w:tcPr>
            <w:tcW w:type="dxa" w:w="2880"/>
          </w:tcPr>
          <w:p>
            <w:r/>
            <w:r>
              <w:rPr>
                <w:sz w:val="18"/>
              </w:rPr>
              <w:t>Optional Model Backend</w:t>
            </w:r>
          </w:p>
        </w:tc>
        <w:tc>
          <w:tcPr>
            <w:tcW w:type="dxa" w:w="6624"/>
          </w:tcPr>
          <w:p>
            <w:r/>
            <w:r>
              <w:rPr>
                <w:sz w:val="18"/>
              </w:rPr>
              <w:t>Hugging Face Transformers 5.x - Qwen2.5-Instruct and SmolLM2 verified</w:t>
            </w:r>
          </w:p>
        </w:tc>
      </w:tr>
      <w:tr>
        <w:tc>
          <w:tcPr>
            <w:tcW w:type="dxa" w:w="2880"/>
          </w:tcPr>
          <w:p>
            <w:r/>
            <w:r>
              <w:rPr>
                <w:sz w:val="18"/>
              </w:rPr>
              <w:t>Tokeniser</w:t>
            </w:r>
          </w:p>
        </w:tc>
        <w:tc>
          <w:tcPr>
            <w:tcW w:type="dxa" w:w="6624"/>
          </w:tcPr>
          <w:p>
            <w:r/>
            <w:r>
              <w:rPr>
                <w:sz w:val="18"/>
              </w:rPr>
              <w:t>tiktoken, GPT-2 BPE, 50,257 tokens</w:t>
            </w:r>
          </w:p>
        </w:tc>
      </w:tr>
      <w:tr>
        <w:tc>
          <w:tcPr>
            <w:tcW w:type="dxa" w:w="2880"/>
          </w:tcPr>
          <w:p>
            <w:r/>
            <w:r>
              <w:rPr>
                <w:sz w:val="18"/>
              </w:rPr>
              <w:t>Retrieval</w:t>
            </w:r>
          </w:p>
        </w:tc>
        <w:tc>
          <w:tcPr>
            <w:tcW w:type="dxa" w:w="6624"/>
          </w:tcPr>
          <w:p>
            <w:r/>
            <w:r>
              <w:rPr>
                <w:sz w:val="18"/>
              </w:rPr>
              <w:t>TF-IDF chunk index with SQLite persistence</w:t>
            </w:r>
          </w:p>
        </w:tc>
      </w:tr>
      <w:tr>
        <w:tc>
          <w:tcPr>
            <w:tcW w:type="dxa" w:w="2880"/>
          </w:tcPr>
          <w:p>
            <w:r/>
            <w:r>
              <w:rPr>
                <w:sz w:val="18"/>
              </w:rPr>
              <w:t>Structured Storage</w:t>
            </w:r>
          </w:p>
        </w:tc>
        <w:tc>
          <w:tcPr>
            <w:tcW w:type="dxa" w:w="6624"/>
          </w:tcPr>
          <w:p>
            <w:r/>
            <w:r>
              <w:rPr>
                <w:sz w:val="18"/>
              </w:rPr>
              <w:t>SQLite (standard library sqlite3) for monitoring rules and saved analyses</w:t>
            </w:r>
          </w:p>
        </w:tc>
      </w:tr>
      <w:tr>
        <w:tc>
          <w:tcPr>
            <w:tcW w:type="dxa" w:w="2880"/>
          </w:tcPr>
          <w:p>
            <w:r/>
            <w:r>
              <w:rPr>
                <w:sz w:val="18"/>
              </w:rPr>
              <w:t>Document Parsing</w:t>
            </w:r>
          </w:p>
        </w:tc>
        <w:tc>
          <w:tcPr>
            <w:tcW w:type="dxa" w:w="6624"/>
          </w:tcPr>
          <w:p>
            <w:r/>
            <w:r>
              <w:rPr>
                <w:sz w:val="18"/>
              </w:rPr>
              <w:t>pypdf, python-docx, plain text</w:t>
            </w:r>
          </w:p>
        </w:tc>
      </w:tr>
      <w:tr>
        <w:tc>
          <w:tcPr>
            <w:tcW w:type="dxa" w:w="2880"/>
          </w:tcPr>
          <w:p>
            <w:r/>
            <w:r>
              <w:rPr>
                <w:sz w:val="18"/>
              </w:rPr>
              <w:t>Diagrams &amp; Docs</w:t>
            </w:r>
          </w:p>
        </w:tc>
        <w:tc>
          <w:tcPr>
            <w:tcW w:type="dxa" w:w="6624"/>
          </w:tcPr>
          <w:p>
            <w:r/>
            <w:r>
              <w:rPr>
                <w:sz w:val="18"/>
              </w:rPr>
              <w:t>matplotlib, python-docx - figures generated from source</w:t>
            </w:r>
          </w:p>
        </w:tc>
      </w:tr>
      <w:tr>
        <w:tc>
          <w:tcPr>
            <w:tcW w:type="dxa" w:w="2880"/>
          </w:tcPr>
          <w:p>
            <w:r/>
            <w:r>
              <w:rPr>
                <w:sz w:val="18"/>
              </w:rPr>
              <w:t>Testing</w:t>
            </w:r>
          </w:p>
        </w:tc>
        <w:tc>
          <w:tcPr>
            <w:tcW w:type="dxa" w:w="6624"/>
          </w:tcPr>
          <w:p>
            <w:r/>
            <w:r>
              <w:rPr>
                <w:sz w:val="18"/>
              </w:rPr>
              <w:t>Standalone Python test scripts, no test framework dependency</w:t>
            </w:r>
          </w:p>
        </w:tc>
      </w:tr>
    </w:tbl>
    <w:p/>
    <w:p>
      <w:pPr>
        <w:pStyle w:val="Heading2"/>
      </w:pPr>
      <w:r>
        <w:t>1.3 Model Specification</w:t>
      </w:r>
    </w:p>
    <w:p>
      <w:pPr>
        <w:spacing w:after="160"/>
      </w:pPr>
      <w:r>
        <w:rPr>
          <w:i w:val="0"/>
          <w:sz w:val="20"/>
        </w:rPr>
        <w:t>The model trained in this repository, used as the local generation backend. (measured, from models/config.py)</w:t>
      </w:r>
    </w:p>
    <w:tbl>
      <w:tblPr>
        <w:tblStyle w:val="TableGrid"/>
        <w:tblW w:type="auto" w:w="0"/>
        <w:jc w:val="center"/>
        <w:tblLook w:firstColumn="1" w:firstRow="1" w:lastColumn="0" w:lastRow="0" w:noHBand="0" w:noVBand="1" w:val="04A0"/>
      </w:tblPr>
      <w:tblGrid>
        <w:gridCol w:w="4896"/>
        <w:gridCol w:w="4896"/>
      </w:tblGrid>
      <w:tr>
        <w:tc>
          <w:tcPr>
            <w:tcW w:type="dxa" w:w="2880"/>
            <w:shd w:val="clear" w:fill="E8EDF5"/>
          </w:tcPr>
          <w:p>
            <w:r/>
            <w:r>
              <w:rPr>
                <w:b/>
                <w:color w:val="111827"/>
                <w:sz w:val="18"/>
              </w:rPr>
              <w:t>Parameter</w:t>
            </w:r>
          </w:p>
        </w:tc>
        <w:tc>
          <w:tcPr>
            <w:tcW w:type="dxa" w:w="6624"/>
            <w:shd w:val="clear" w:fill="E8EDF5"/>
          </w:tcPr>
          <w:p>
            <w:r/>
            <w:r>
              <w:rPr>
                <w:b/>
                <w:color w:val="111827"/>
                <w:sz w:val="18"/>
              </w:rPr>
              <w:t>Value</w:t>
            </w:r>
          </w:p>
        </w:tc>
      </w:tr>
      <w:tr>
        <w:tc>
          <w:tcPr>
            <w:tcW w:type="dxa" w:w="2880"/>
          </w:tcPr>
          <w:p>
            <w:r/>
            <w:r>
              <w:rPr>
                <w:sz w:val="18"/>
              </w:rPr>
              <w:t>Architecture</w:t>
            </w:r>
          </w:p>
        </w:tc>
        <w:tc>
          <w:tcPr>
            <w:tcW w:type="dxa" w:w="6624"/>
          </w:tcPr>
          <w:p>
            <w:r/>
            <w:r>
              <w:rPr>
                <w:sz w:val="18"/>
              </w:rPr>
              <w:t>DeepSeek-V3 inspired - MoE, Multi-head Latent Attention, Multi-Token Prediction</w:t>
            </w:r>
          </w:p>
        </w:tc>
      </w:tr>
      <w:tr>
        <w:tc>
          <w:tcPr>
            <w:tcW w:type="dxa" w:w="2880"/>
          </w:tcPr>
          <w:p>
            <w:r/>
            <w:r>
              <w:rPr>
                <w:sz w:val="18"/>
              </w:rPr>
              <w:t>Total parameters</w:t>
            </w:r>
          </w:p>
        </w:tc>
        <w:tc>
          <w:tcPr>
            <w:tcW w:type="dxa" w:w="6624"/>
          </w:tcPr>
          <w:p>
            <w:r/>
            <w:r>
              <w:rPr>
                <w:sz w:val="18"/>
              </w:rPr>
              <w:t>101.7M</w:t>
            </w:r>
          </w:p>
        </w:tc>
      </w:tr>
      <w:tr>
        <w:tc>
          <w:tcPr>
            <w:tcW w:type="dxa" w:w="2880"/>
          </w:tcPr>
          <w:p>
            <w:r/>
            <w:r>
              <w:rPr>
                <w:sz w:val="18"/>
              </w:rPr>
              <w:t>Layers</w:t>
            </w:r>
          </w:p>
        </w:tc>
        <w:tc>
          <w:tcPr>
            <w:tcW w:type="dxa" w:w="6624"/>
          </w:tcPr>
          <w:p>
            <w:r/>
            <w:r>
              <w:rPr>
                <w:sz w:val="18"/>
              </w:rPr>
              <w:t>8</w:t>
            </w:r>
          </w:p>
        </w:tc>
      </w:tr>
      <w:tr>
        <w:tc>
          <w:tcPr>
            <w:tcW w:type="dxa" w:w="2880"/>
          </w:tcPr>
          <w:p>
            <w:r/>
            <w:r>
              <w:rPr>
                <w:sz w:val="18"/>
              </w:rPr>
              <w:t>Hidden size</w:t>
            </w:r>
          </w:p>
        </w:tc>
        <w:tc>
          <w:tcPr>
            <w:tcW w:type="dxa" w:w="6624"/>
          </w:tcPr>
          <w:p>
            <w:r/>
            <w:r>
              <w:rPr>
                <w:sz w:val="18"/>
              </w:rPr>
              <w:t>512</w:t>
            </w:r>
          </w:p>
        </w:tc>
      </w:tr>
      <w:tr>
        <w:tc>
          <w:tcPr>
            <w:tcW w:type="dxa" w:w="2880"/>
          </w:tcPr>
          <w:p>
            <w:r/>
            <w:r>
              <w:rPr>
                <w:sz w:val="18"/>
              </w:rPr>
              <w:t>Attention heads</w:t>
            </w:r>
          </w:p>
        </w:tc>
        <w:tc>
          <w:tcPr>
            <w:tcW w:type="dxa" w:w="6624"/>
          </w:tcPr>
          <w:p>
            <w:r/>
            <w:r>
              <w:rPr>
                <w:sz w:val="18"/>
              </w:rPr>
              <w:t>8</w:t>
            </w:r>
          </w:p>
        </w:tc>
      </w:tr>
      <w:tr>
        <w:tc>
          <w:tcPr>
            <w:tcW w:type="dxa" w:w="2880"/>
          </w:tcPr>
          <w:p>
            <w:r/>
            <w:r>
              <w:rPr>
                <w:sz w:val="18"/>
              </w:rPr>
              <w:t>Context length</w:t>
            </w:r>
          </w:p>
        </w:tc>
        <w:tc>
          <w:tcPr>
            <w:tcW w:type="dxa" w:w="6624"/>
          </w:tcPr>
          <w:p>
            <w:r/>
            <w:r>
              <w:rPr>
                <w:sz w:val="18"/>
              </w:rPr>
              <w:t>1,024 tokens</w:t>
            </w:r>
          </w:p>
        </w:tc>
      </w:tr>
      <w:tr>
        <w:tc>
          <w:tcPr>
            <w:tcW w:type="dxa" w:w="2880"/>
          </w:tcPr>
          <w:p>
            <w:r/>
            <w:r>
              <w:rPr>
                <w:sz w:val="18"/>
              </w:rPr>
              <w:t>Experts</w:t>
            </w:r>
          </w:p>
        </w:tc>
        <w:tc>
          <w:tcPr>
            <w:tcW w:type="dxa" w:w="6624"/>
          </w:tcPr>
          <w:p>
            <w:r/>
            <w:r>
              <w:rPr>
                <w:sz w:val="18"/>
              </w:rPr>
              <w:t>8, top-2 routing</w:t>
            </w:r>
          </w:p>
        </w:tc>
      </w:tr>
      <w:tr>
        <w:tc>
          <w:tcPr>
            <w:tcW w:type="dxa" w:w="2880"/>
          </w:tcPr>
          <w:p>
            <w:r/>
            <w:r>
              <w:rPr>
                <w:sz w:val="18"/>
              </w:rPr>
              <w:t>KV LoRA rank</w:t>
            </w:r>
          </w:p>
        </w:tc>
        <w:tc>
          <w:tcPr>
            <w:tcW w:type="dxa" w:w="6624"/>
          </w:tcPr>
          <w:p>
            <w:r/>
            <w:r>
              <w:rPr>
                <w:sz w:val="18"/>
              </w:rPr>
              <w:t>128</w:t>
            </w:r>
          </w:p>
        </w:tc>
      </w:tr>
      <w:tr>
        <w:tc>
          <w:tcPr>
            <w:tcW w:type="dxa" w:w="2880"/>
          </w:tcPr>
          <w:p>
            <w:r/>
            <w:r>
              <w:rPr>
                <w:sz w:val="18"/>
              </w:rPr>
              <w:t>Query LoRA rank</w:t>
            </w:r>
          </w:p>
        </w:tc>
        <w:tc>
          <w:tcPr>
            <w:tcW w:type="dxa" w:w="6624"/>
          </w:tcPr>
          <w:p>
            <w:r/>
            <w:r>
              <w:rPr>
                <w:sz w:val="18"/>
              </w:rPr>
              <w:t>192</w:t>
            </w:r>
          </w:p>
        </w:tc>
      </w:tr>
      <w:tr>
        <w:tc>
          <w:tcPr>
            <w:tcW w:type="dxa" w:w="2880"/>
          </w:tcPr>
          <w:p>
            <w:r/>
            <w:r>
              <w:rPr>
                <w:sz w:val="18"/>
              </w:rPr>
              <w:t>Vocabulary</w:t>
            </w:r>
          </w:p>
        </w:tc>
        <w:tc>
          <w:tcPr>
            <w:tcW w:type="dxa" w:w="6624"/>
          </w:tcPr>
          <w:p>
            <w:r/>
            <w:r>
              <w:rPr>
                <w:sz w:val="18"/>
              </w:rPr>
              <w:t>50,257 (GPT-2 BPE)</w:t>
            </w:r>
          </w:p>
        </w:tc>
      </w:tr>
      <w:tr>
        <w:tc>
          <w:tcPr>
            <w:tcW w:type="dxa" w:w="2880"/>
          </w:tcPr>
          <w:p>
            <w:r/>
            <w:r>
              <w:rPr>
                <w:sz w:val="18"/>
              </w:rPr>
              <w:t>Training tokens</w:t>
            </w:r>
          </w:p>
        </w:tc>
        <w:tc>
          <w:tcPr>
            <w:tcW w:type="dxa" w:w="6624"/>
          </w:tcPr>
          <w:p>
            <w:r/>
            <w:r>
              <w:rPr>
                <w:sz w:val="18"/>
              </w:rPr>
              <w:t>120.9M unique, 16.3 epochs</w:t>
            </w:r>
          </w:p>
        </w:tc>
      </w:tr>
      <w:tr>
        <w:tc>
          <w:tcPr>
            <w:tcW w:type="dxa" w:w="2880"/>
          </w:tcPr>
          <w:p>
            <w:r/>
            <w:r>
              <w:rPr>
                <w:sz w:val="18"/>
              </w:rPr>
              <w:t>Token / parameter ratio</w:t>
            </w:r>
          </w:p>
        </w:tc>
        <w:tc>
          <w:tcPr>
            <w:tcW w:type="dxa" w:w="6624"/>
          </w:tcPr>
          <w:p>
            <w:r/>
            <w:r>
              <w:rPr>
                <w:sz w:val="18"/>
              </w:rPr>
              <w:t>1.19 (compute-optimal is approximately 20)</w:t>
            </w:r>
          </w:p>
        </w:tc>
      </w:tr>
    </w:tbl>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The local model is under-trained by design constraint, not by defect: at 1.19 tokens per parameter it saw about 6% of the data a model this size needs. Section 11 reports what that costs, and why the architecture places no trust in the model's arithmetic.</w:t>
            </w:r>
          </w:p>
        </w:tc>
      </w:tr>
    </w:tbl>
    <w:p/>
    <w:p>
      <w:pPr>
        <w:pStyle w:val="Heading1"/>
      </w:pPr>
      <w:r>
        <w:t>2. System Architecture</w:t>
      </w:r>
    </w:p>
    <w:p>
      <w:pPr>
        <w:spacing w:after="160"/>
      </w:pPr>
      <w:r>
        <w:rPr>
          <w:i w:val="0"/>
          <w:sz w:val="20"/>
        </w:rPr>
        <w:t>Aivora is a layered pipeline. A request from the browser enters a single-file HTTP layer, is classified by intent, dispatched to the service that can answer it correctly, validated against the source document, and returned with its evidence. The layering exists so that the component least able to be trusted - the language model - is given the smallest possible job.</w:t>
      </w:r>
    </w:p>
    <w:p>
      <w:pPr>
        <w:jc w:val="center"/>
      </w:pPr>
      <w:r>
        <w:drawing>
          <wp:inline xmlns:a="http://schemas.openxmlformats.org/drawingml/2006/main" xmlns:pic="http://schemas.openxmlformats.org/drawingml/2006/picture">
            <wp:extent cx="6035040" cy="4723363"/>
            <wp:docPr id="1" name="Picture 1"/>
            <wp:cNvGraphicFramePr>
              <a:graphicFrameLocks noChangeAspect="1"/>
            </wp:cNvGraphicFramePr>
            <a:graphic>
              <a:graphicData uri="http://schemas.openxmlformats.org/drawingml/2006/picture">
                <pic:pic>
                  <pic:nvPicPr>
                    <pic:cNvPr id="0" name="01_system_architecture.png"/>
                    <pic:cNvPicPr/>
                  </pic:nvPicPr>
                  <pic:blipFill>
                    <a:blip r:embed="rId9"/>
                    <a:stretch>
                      <a:fillRect/>
                    </a:stretch>
                  </pic:blipFill>
                  <pic:spPr>
                    <a:xfrm>
                      <a:off x="0" y="0"/>
                      <a:ext cx="6035040" cy="4723363"/>
                    </a:xfrm>
                    <a:prstGeom prst="rect"/>
                  </pic:spPr>
                </pic:pic>
              </a:graphicData>
            </a:graphic>
          </wp:inline>
        </w:drawing>
      </w:r>
    </w:p>
    <w:p>
      <w:pPr>
        <w:spacing w:after="240"/>
        <w:jc w:val="center"/>
      </w:pPr>
      <w:r>
        <w:rPr>
          <w:i/>
          <w:color w:val="6B7280"/>
          <w:sz w:val="17"/>
        </w:rPr>
        <w:t>Figure 1. System architecture. The evidence band at the foot of the diagram is what every successful response carries.</w:t>
      </w:r>
    </w:p>
    <w:p>
      <w:pPr>
        <w:pStyle w:val="Heading2"/>
      </w:pPr>
      <w:r>
        <w:t>2.1 High-Level Component Map</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E8EDF5"/>
          </w:tcPr>
          <w:p>
            <w:r/>
            <w:r>
              <w:rPr>
                <w:b/>
                <w:color w:val="111827"/>
                <w:sz w:val="18"/>
              </w:rPr>
              <w:t>Layer</w:t>
            </w:r>
          </w:p>
        </w:tc>
        <w:tc>
          <w:tcPr>
            <w:tcW w:type="dxa" w:w="2880"/>
            <w:shd w:val="clear" w:fill="E8EDF5"/>
          </w:tcPr>
          <w:p>
            <w:r/>
            <w:r>
              <w:rPr>
                <w:b/>
                <w:color w:val="111827"/>
                <w:sz w:val="18"/>
              </w:rPr>
              <w:t>Module</w:t>
            </w:r>
          </w:p>
        </w:tc>
        <w:tc>
          <w:tcPr>
            <w:tcW w:type="dxa" w:w="4752"/>
            <w:shd w:val="clear" w:fill="E8EDF5"/>
          </w:tcPr>
          <w:p>
            <w:r/>
            <w:r>
              <w:rPr>
                <w:b/>
                <w:color w:val="111827"/>
                <w:sz w:val="18"/>
              </w:rPr>
              <w:t>Responsibility</w:t>
            </w:r>
          </w:p>
        </w:tc>
      </w:tr>
      <w:tr>
        <w:tc>
          <w:tcPr>
            <w:tcW w:type="dxa" w:w="1872"/>
          </w:tcPr>
          <w:p>
            <w:r/>
            <w:r>
              <w:rPr>
                <w:b/>
                <w:sz w:val="18"/>
              </w:rPr>
              <w:t>HTTP API</w:t>
            </w:r>
          </w:p>
        </w:tc>
        <w:tc>
          <w:tcPr>
            <w:tcW w:type="dxa" w:w="2880"/>
          </w:tcPr>
          <w:p>
            <w:r/>
            <w:r>
              <w:rPr>
                <w:sz w:val="18"/>
              </w:rPr>
              <w:t>app/backend/server.py</w:t>
            </w:r>
          </w:p>
        </w:tc>
        <w:tc>
          <w:tcPr>
            <w:tcW w:type="dxa" w:w="4752"/>
          </w:tcPr>
          <w:p>
            <w:r/>
            <w:r>
              <w:rPr>
                <w:sz w:val="18"/>
              </w:rPr>
              <w:t>Route table, request parsing, JSON responses, static file serving</w:t>
            </w:r>
          </w:p>
        </w:tc>
      </w:tr>
      <w:tr>
        <w:tc>
          <w:tcPr>
            <w:tcW w:type="dxa" w:w="1872"/>
          </w:tcPr>
          <w:p>
            <w:r/>
            <w:r>
              <w:rPr>
                <w:b/>
                <w:sz w:val="18"/>
              </w:rPr>
              <w:t>Security</w:t>
            </w:r>
          </w:p>
        </w:tc>
        <w:tc>
          <w:tcPr>
            <w:tcW w:type="dxa" w:w="2880"/>
          </w:tcPr>
          <w:p>
            <w:r/>
            <w:r>
              <w:rPr>
                <w:sz w:val="18"/>
              </w:rPr>
              <w:t>app/backend/security.py</w:t>
            </w:r>
          </w:p>
        </w:tc>
        <w:tc>
          <w:tcPr>
            <w:tcW w:type="dxa" w:w="4752"/>
          </w:tcPr>
          <w:p>
            <w:r/>
            <w:r>
              <w:rPr>
                <w:sz w:val="18"/>
              </w:rPr>
              <w:t>CORS allow-list, body size limit, path confinement, extension allow-list</w:t>
            </w:r>
          </w:p>
        </w:tc>
      </w:tr>
      <w:tr>
        <w:tc>
          <w:tcPr>
            <w:tcW w:type="dxa" w:w="1872"/>
          </w:tcPr>
          <w:p>
            <w:r/>
            <w:r>
              <w:rPr>
                <w:b/>
                <w:sz w:val="18"/>
              </w:rPr>
              <w:t>Workspace</w:t>
            </w:r>
          </w:p>
        </w:tc>
        <w:tc>
          <w:tcPr>
            <w:tcW w:type="dxa" w:w="2880"/>
          </w:tcPr>
          <w:p>
            <w:r/>
            <w:r>
              <w:rPr>
                <w:sz w:val="18"/>
              </w:rPr>
              <w:t>services/workspace.py</w:t>
            </w:r>
          </w:p>
        </w:tc>
        <w:tc>
          <w:tcPr>
            <w:tcW w:type="dxa" w:w="4752"/>
          </w:tcPr>
          <w:p>
            <w:r/>
            <w:r>
              <w:rPr>
                <w:sz w:val="18"/>
              </w:rPr>
              <w:t>Company to document scope; what a question may be answered from</w:t>
            </w:r>
          </w:p>
        </w:tc>
      </w:tr>
      <w:tr>
        <w:tc>
          <w:tcPr>
            <w:tcW w:type="dxa" w:w="1872"/>
          </w:tcPr>
          <w:p>
            <w:r/>
            <w:r>
              <w:rPr>
                <w:b/>
                <w:sz w:val="18"/>
              </w:rPr>
              <w:t>Intent Routing</w:t>
            </w:r>
          </w:p>
        </w:tc>
        <w:tc>
          <w:tcPr>
            <w:tcW w:type="dxa" w:w="2880"/>
          </w:tcPr>
          <w:p>
            <w:r/>
            <w:r>
              <w:rPr>
                <w:sz w:val="18"/>
              </w:rPr>
              <w:t>services/financial_router.py</w:t>
            </w:r>
          </w:p>
        </w:tc>
        <w:tc>
          <w:tcPr>
            <w:tcW w:type="dxa" w:w="4752"/>
          </w:tcPr>
          <w:p>
            <w:r/>
            <w:r>
              <w:rPr>
                <w:sz w:val="18"/>
              </w:rPr>
              <w:t>Classifies a question as calculation, extraction, definition or refusal</w:t>
            </w:r>
          </w:p>
        </w:tc>
      </w:tr>
      <w:tr>
        <w:tc>
          <w:tcPr>
            <w:tcW w:type="dxa" w:w="1872"/>
          </w:tcPr>
          <w:p>
            <w:r/>
            <w:r>
              <w:rPr>
                <w:b/>
                <w:sz w:val="18"/>
              </w:rPr>
              <w:t>Analyst</w:t>
            </w:r>
          </w:p>
        </w:tc>
        <w:tc>
          <w:tcPr>
            <w:tcW w:type="dxa" w:w="2880"/>
          </w:tcPr>
          <w:p>
            <w:r/>
            <w:r>
              <w:rPr>
                <w:sz w:val="18"/>
              </w:rPr>
              <w:t>services/chat_service.py</w:t>
            </w:r>
          </w:p>
        </w:tc>
        <w:tc>
          <w:tcPr>
            <w:tcW w:type="dxa" w:w="4752"/>
          </w:tcPr>
          <w:p>
            <w:r/>
            <w:r>
              <w:rPr>
                <w:sz w:val="18"/>
              </w:rPr>
              <w:t>Conversational analysis, context carry-over, structured responses</w:t>
            </w:r>
          </w:p>
        </w:tc>
      </w:tr>
      <w:tr>
        <w:tc>
          <w:tcPr>
            <w:tcW w:type="dxa" w:w="1872"/>
          </w:tcPr>
          <w:p>
            <w:r/>
            <w:r>
              <w:rPr>
                <w:b/>
                <w:sz w:val="18"/>
              </w:rPr>
              <w:t>Analyst Bridge</w:t>
            </w:r>
          </w:p>
        </w:tc>
        <w:tc>
          <w:tcPr>
            <w:tcW w:type="dxa" w:w="2880"/>
          </w:tcPr>
          <w:p>
            <w:r/>
            <w:r>
              <w:rPr>
                <w:sz w:val="18"/>
              </w:rPr>
              <w:t>services/analyst_pipeline.py</w:t>
            </w:r>
          </w:p>
        </w:tc>
        <w:tc>
          <w:tcPr>
            <w:tcW w:type="dxa" w:w="4752"/>
          </w:tcPr>
          <w:p>
            <w:r/>
            <w:r>
              <w:rPr>
                <w:sz w:val="18"/>
              </w:rPr>
              <w:t>Routes the Analyst through the tool pipeline when a capable model is hosted; refuses rather than degrading</w:t>
            </w:r>
          </w:p>
        </w:tc>
      </w:tr>
      <w:tr>
        <w:tc>
          <w:tcPr>
            <w:tcW w:type="dxa" w:w="1872"/>
          </w:tcPr>
          <w:p>
            <w:r/>
            <w:r>
              <w:rPr>
                <w:b/>
                <w:sz w:val="18"/>
              </w:rPr>
              <w:t>Value Binding</w:t>
            </w:r>
          </w:p>
        </w:tc>
        <w:tc>
          <w:tcPr>
            <w:tcW w:type="dxa" w:w="2880"/>
          </w:tcPr>
          <w:p>
            <w:r/>
            <w:r>
              <w:rPr>
                <w:sz w:val="18"/>
              </w:rPr>
              <w:t>services/financial_values.py</w:t>
            </w:r>
          </w:p>
        </w:tc>
        <w:tc>
          <w:tcPr>
            <w:tcW w:type="dxa" w:w="4752"/>
          </w:tcPr>
          <w:p>
            <w:r/>
            <w:r>
              <w:rPr>
                <w:sz w:val="18"/>
              </w:rPr>
              <w:t>Binds a label to its value with the source span, nearest-label preference</w:t>
            </w:r>
          </w:p>
        </w:tc>
      </w:tr>
      <w:tr>
        <w:tc>
          <w:tcPr>
            <w:tcW w:type="dxa" w:w="1872"/>
          </w:tcPr>
          <w:p>
            <w:r/>
            <w:r>
              <w:rPr>
                <w:b/>
                <w:sz w:val="18"/>
              </w:rPr>
              <w:t>Product Views</w:t>
            </w:r>
          </w:p>
        </w:tc>
        <w:tc>
          <w:tcPr>
            <w:tcW w:type="dxa" w:w="2880"/>
          </w:tcPr>
          <w:p>
            <w:r/>
            <w:r>
              <w:rPr>
                <w:sz w:val="18"/>
              </w:rPr>
              <w:t>services/product_views.py</w:t>
            </w:r>
          </w:p>
        </w:tc>
        <w:tc>
          <w:tcPr>
            <w:tcW w:type="dxa" w:w="4752"/>
          </w:tcPr>
          <w:p>
            <w:r/>
            <w:r>
              <w:rPr>
                <w:sz w:val="18"/>
              </w:rPr>
              <w:t>Comparisons, insights and reports as structured data with sources</w:t>
            </w:r>
          </w:p>
        </w:tc>
      </w:tr>
      <w:tr>
        <w:tc>
          <w:tcPr>
            <w:tcW w:type="dxa" w:w="1872"/>
          </w:tcPr>
          <w:p>
            <w:r/>
            <w:r>
              <w:rPr>
                <w:b/>
                <w:sz w:val="18"/>
              </w:rPr>
              <w:t>Monitoring</w:t>
            </w:r>
          </w:p>
        </w:tc>
        <w:tc>
          <w:tcPr>
            <w:tcW w:type="dxa" w:w="2880"/>
          </w:tcPr>
          <w:p>
            <w:r/>
            <w:r>
              <w:rPr>
                <w:sz w:val="18"/>
              </w:rPr>
              <w:t>services/alerts.py</w:t>
            </w:r>
          </w:p>
        </w:tc>
        <w:tc>
          <w:tcPr>
            <w:tcW w:type="dxa" w:w="4752"/>
          </w:tcPr>
          <w:p>
            <w:r/>
            <w:r>
              <w:rPr>
                <w:sz w:val="18"/>
              </w:rPr>
              <w:t>13 computable metrics, condition evaluation, state-change detection</w:t>
            </w:r>
          </w:p>
        </w:tc>
      </w:tr>
      <w:tr>
        <w:tc>
          <w:tcPr>
            <w:tcW w:type="dxa" w:w="1872"/>
          </w:tcPr>
          <w:p>
            <w:r/>
            <w:r>
              <w:rPr>
                <w:b/>
                <w:sz w:val="18"/>
              </w:rPr>
              <w:t>Saved Analyses</w:t>
            </w:r>
          </w:p>
        </w:tc>
        <w:tc>
          <w:tcPr>
            <w:tcW w:type="dxa" w:w="2880"/>
          </w:tcPr>
          <w:p>
            <w:r/>
            <w:r>
              <w:rPr>
                <w:sz w:val="18"/>
              </w:rPr>
              <w:t>services/saved_analyses.py</w:t>
            </w:r>
          </w:p>
        </w:tc>
        <w:tc>
          <w:tcPr>
            <w:tcW w:type="dxa" w:w="4752"/>
          </w:tcPr>
          <w:p>
            <w:r/>
            <w:r>
              <w:rPr>
                <w:sz w:val="18"/>
              </w:rPr>
              <w:t>Named snapshots of a view, persisted server-side in SQLite</w:t>
            </w:r>
          </w:p>
        </w:tc>
      </w:tr>
      <w:tr>
        <w:tc>
          <w:tcPr>
            <w:tcW w:type="dxa" w:w="1872"/>
          </w:tcPr>
          <w:p>
            <w:r/>
            <w:r>
              <w:rPr>
                <w:b/>
                <w:sz w:val="18"/>
              </w:rPr>
              <w:t>Grounding</w:t>
            </w:r>
          </w:p>
        </w:tc>
        <w:tc>
          <w:tcPr>
            <w:tcW w:type="dxa" w:w="2880"/>
          </w:tcPr>
          <w:p>
            <w:r/>
            <w:r>
              <w:rPr>
                <w:sz w:val="18"/>
              </w:rPr>
              <w:t>services/grounding.py, services/abstention.py</w:t>
            </w:r>
          </w:p>
        </w:tc>
        <w:tc>
          <w:tcPr>
            <w:tcW w:type="dxa" w:w="4752"/>
          </w:tcPr>
          <w:p>
            <w:r/>
            <w:r>
              <w:rPr>
                <w:sz w:val="18"/>
              </w:rPr>
              <w:t>Determines whether an answer is supported; produces refusals</w:t>
            </w:r>
          </w:p>
        </w:tc>
      </w:tr>
      <w:tr>
        <w:tc>
          <w:tcPr>
            <w:tcW w:type="dxa" w:w="1872"/>
          </w:tcPr>
          <w:p>
            <w:r/>
            <w:r>
              <w:rPr>
                <w:b/>
                <w:sz w:val="18"/>
              </w:rPr>
              <w:t>Answer Quality</w:t>
            </w:r>
          </w:p>
        </w:tc>
        <w:tc>
          <w:tcPr>
            <w:tcW w:type="dxa" w:w="2880"/>
          </w:tcPr>
          <w:p>
            <w:r/>
            <w:r>
              <w:rPr>
                <w:sz w:val="18"/>
              </w:rPr>
              <w:t>services/quality.py, services/question_focus.py</w:t>
            </w:r>
          </w:p>
        </w:tc>
        <w:tc>
          <w:tcPr>
            <w:tcW w:type="dxa" w:w="4752"/>
          </w:tcPr>
          <w:p>
            <w:r/>
            <w:r>
              <w:rPr>
                <w:sz w:val="18"/>
              </w:rPr>
              <w:t>Checks that an answer addresses the question actually asked</w:t>
            </w:r>
          </w:p>
        </w:tc>
      </w:tr>
      <w:tr>
        <w:tc>
          <w:tcPr>
            <w:tcW w:type="dxa" w:w="1872"/>
          </w:tcPr>
          <w:p>
            <w:r/>
            <w:r>
              <w:rPr>
                <w:b/>
                <w:sz w:val="18"/>
              </w:rPr>
              <w:t>Calculation</w:t>
            </w:r>
          </w:p>
        </w:tc>
        <w:tc>
          <w:tcPr>
            <w:tcW w:type="dxa" w:w="2880"/>
          </w:tcPr>
          <w:p>
            <w:r/>
            <w:r>
              <w:rPr>
                <w:sz w:val="18"/>
              </w:rPr>
              <w:t>tools/financial_calculator.py</w:t>
            </w:r>
          </w:p>
        </w:tc>
        <w:tc>
          <w:tcPr>
            <w:tcW w:type="dxa" w:w="4752"/>
          </w:tcPr>
          <w:p>
            <w:r/>
            <w:r>
              <w:rPr>
                <w:sz w:val="18"/>
              </w:rPr>
              <w:t>Deterministic financial arithmetic</w:t>
            </w:r>
          </w:p>
        </w:tc>
      </w:tr>
      <w:tr>
        <w:tc>
          <w:tcPr>
            <w:tcW w:type="dxa" w:w="1872"/>
          </w:tcPr>
          <w:p>
            <w:r/>
            <w:r>
              <w:rPr>
                <w:b/>
                <w:sz w:val="18"/>
              </w:rPr>
              <w:t>Tool Pipeline</w:t>
            </w:r>
          </w:p>
        </w:tc>
        <w:tc>
          <w:tcPr>
            <w:tcW w:type="dxa" w:w="2880"/>
          </w:tcPr>
          <w:p>
            <w:r/>
            <w:r>
              <w:rPr>
                <w:sz w:val="18"/>
              </w:rPr>
              <w:t>pipeline/tool_pipeline.py, pipeline/schema.py</w:t>
            </w:r>
          </w:p>
        </w:tc>
        <w:tc>
          <w:tcPr>
            <w:tcW w:type="dxa" w:w="4752"/>
          </w:tcPr>
          <w:p>
            <w:r/>
            <w:r>
              <w:rPr>
                <w:sz w:val="18"/>
              </w:rPr>
              <w:t>Span validation, operand resolution, Python-only computation</w:t>
            </w:r>
          </w:p>
        </w:tc>
      </w:tr>
      <w:tr>
        <w:tc>
          <w:tcPr>
            <w:tcW w:type="dxa" w:w="1872"/>
          </w:tcPr>
          <w:p>
            <w:r/>
            <w:r>
              <w:rPr>
                <w:b/>
                <w:sz w:val="18"/>
              </w:rPr>
              <w:t>Retrieval</w:t>
            </w:r>
          </w:p>
        </w:tc>
        <w:tc>
          <w:tcPr>
            <w:tcW w:type="dxa" w:w="2880"/>
          </w:tcPr>
          <w:p>
            <w:r/>
            <w:r>
              <w:rPr>
                <w:sz w:val="18"/>
              </w:rPr>
              <w:t>rag/retriever.py, rag/persistent_store.py</w:t>
            </w:r>
          </w:p>
        </w:tc>
        <w:tc>
          <w:tcPr>
            <w:tcW w:type="dxa" w:w="4752"/>
          </w:tcPr>
          <w:p>
            <w:r/>
            <w:r>
              <w:rPr>
                <w:sz w:val="18"/>
              </w:rPr>
              <w:t>TF-IDF chunk index, SQLite-backed chunk persistence</w:t>
            </w:r>
          </w:p>
        </w:tc>
      </w:tr>
      <w:tr>
        <w:tc>
          <w:tcPr>
            <w:tcW w:type="dxa" w:w="1872"/>
          </w:tcPr>
          <w:p>
            <w:r/>
            <w:r>
              <w:rPr>
                <w:b/>
                <w:sz w:val="18"/>
              </w:rPr>
              <w:t>Generation</w:t>
            </w:r>
          </w:p>
        </w:tc>
        <w:tc>
          <w:tcPr>
            <w:tcW w:type="dxa" w:w="2880"/>
          </w:tcPr>
          <w:p>
            <w:r/>
            <w:r>
              <w:rPr>
                <w:sz w:val="18"/>
              </w:rPr>
              <w:t>services/generation.py</w:t>
            </w:r>
          </w:p>
        </w:tc>
        <w:tc>
          <w:tcPr>
            <w:tcW w:type="dxa" w:w="4752"/>
          </w:tcPr>
          <w:p>
            <w:r/>
            <w:r>
              <w:rPr>
                <w:sz w:val="18"/>
              </w:rPr>
              <w:t>Pluggable model backends - local DeepSeekV3 or Hugging Face</w:t>
            </w:r>
          </w:p>
        </w:tc>
      </w:tr>
    </w:tbl>
    <w:p/>
    <w:p>
      <w:pPr>
        <w:pStyle w:val="Heading2"/>
      </w:pPr>
      <w:r>
        <w:t>2.2 Request Flow</w:t>
      </w:r>
    </w:p>
    <w:p>
      <w:pPr>
        <w:pStyle w:val="ListNumber"/>
        <w:spacing w:after="60"/>
      </w:pPr>
      <w:r>
        <w:rPr>
          <w:sz w:val="20"/>
        </w:rPr>
        <w:t>The browser issues a JSON request to an endpoint on the same origin.</w:t>
      </w:r>
    </w:p>
    <w:p>
      <w:pPr>
        <w:pStyle w:val="ListNumber"/>
        <w:spacing w:after="60"/>
      </w:pPr>
      <w:r>
        <w:rPr>
          <w:sz w:val="20"/>
        </w:rPr>
        <w:t>security.py applies the CORS allow-list, body size limit and, for any path argument, confinement beneath the document root.</w:t>
      </w:r>
    </w:p>
    <w:p>
      <w:pPr>
        <w:pStyle w:val="ListNumber"/>
        <w:spacing w:after="60"/>
      </w:pPr>
      <w:r>
        <w:rPr>
          <w:sz w:val="20"/>
        </w:rPr>
        <w:t>The route table dispatches to a handler; handlers contain no model, scoring or financial logic of their own.</w:t>
      </w:r>
    </w:p>
    <w:p>
      <w:pPr>
        <w:pStyle w:val="ListNumber"/>
        <w:spacing w:after="60"/>
      </w:pPr>
      <w:r>
        <w:rPr>
          <w:sz w:val="20"/>
        </w:rPr>
        <w:t>financial_router.py classifies the question's intent.</w:t>
      </w:r>
    </w:p>
    <w:p>
      <w:pPr>
        <w:pStyle w:val="ListNumber"/>
        <w:spacing w:after="60"/>
      </w:pPr>
      <w:r>
        <w:rPr>
          <w:sz w:val="20"/>
        </w:rPr>
        <w:t>The responsible service answers: calculator for arithmetic, retrieval for document questions, knowledge layer for definitions, refusal rule for questions no filing can answer.</w:t>
      </w:r>
    </w:p>
    <w:p>
      <w:pPr>
        <w:pStyle w:val="ListNumber"/>
        <w:spacing w:after="60"/>
      </w:pPr>
      <w:r>
        <w:rPr>
          <w:sz w:val="20"/>
        </w:rPr>
        <w:t>Workspace scoping discards any retrieval hit from a document outside the company being viewed.</w:t>
      </w:r>
    </w:p>
    <w:p>
      <w:pPr>
        <w:pStyle w:val="ListNumber"/>
        <w:spacing w:after="60"/>
      </w:pPr>
      <w:r>
        <w:rPr>
          <w:sz w:val="20"/>
        </w:rPr>
        <w:t>The grounding layer confirms the answer is supported by its source; if not, an abstention is produced.</w:t>
      </w:r>
    </w:p>
    <w:p>
      <w:pPr>
        <w:pStyle w:val="ListNumber"/>
        <w:spacing w:after="60"/>
      </w:pPr>
      <w:r>
        <w:rPr>
          <w:sz w:val="20"/>
        </w:rPr>
        <w:t>The response is returned with its value, source span, formula, working and source document.</w:t>
      </w:r>
    </w:p>
    <w:p>
      <w:pPr>
        <w:jc w:val="center"/>
      </w:pPr>
      <w:r>
        <w:drawing>
          <wp:inline xmlns:a="http://schemas.openxmlformats.org/drawingml/2006/main" xmlns:pic="http://schemas.openxmlformats.org/drawingml/2006/picture">
            <wp:extent cx="6035040" cy="3436620"/>
            <wp:docPr id="2" name="Picture 2"/>
            <wp:cNvGraphicFramePr>
              <a:graphicFrameLocks noChangeAspect="1"/>
            </wp:cNvGraphicFramePr>
            <a:graphic>
              <a:graphicData uri="http://schemas.openxmlformats.org/drawingml/2006/picture">
                <pic:pic>
                  <pic:nvPicPr>
                    <pic:cNvPr id="0" name="02_question_routing.png"/>
                    <pic:cNvPicPr/>
                  </pic:nvPicPr>
                  <pic:blipFill>
                    <a:blip r:embed="rId10"/>
                    <a:stretch>
                      <a:fillRect/>
                    </a:stretch>
                  </pic:blipFill>
                  <pic:spPr>
                    <a:xfrm>
                      <a:off x="0" y="0"/>
                      <a:ext cx="6035040" cy="3436620"/>
                    </a:xfrm>
                    <a:prstGeom prst="rect"/>
                  </pic:spPr>
                </pic:pic>
              </a:graphicData>
            </a:graphic>
          </wp:inline>
        </w:drawing>
      </w:r>
    </w:p>
    <w:p>
      <w:pPr>
        <w:spacing w:after="240"/>
        <w:jc w:val="center"/>
      </w:pPr>
      <w:r>
        <w:rPr>
          <w:i/>
          <w:color w:val="6B7280"/>
          <w:sz w:val="17"/>
        </w:rPr>
        <w:t>Figure 2. Question routing. Each lane is handled by the component that can answer it correctly; all converge on one validation gate.</w:t>
      </w:r>
    </w:p>
    <w:p>
      <w:pPr>
        <w:pStyle w:val="Heading1"/>
      </w:pPr>
      <w:r>
        <w:t>3. Module-by-Module Explanation</w:t>
      </w:r>
    </w:p>
    <w:p>
      <w:pPr>
        <w:pStyle w:val="Heading2"/>
      </w:pPr>
      <w:r>
        <w:t>3.1 Tool Pipeline (pipeline/tool_pipeline.py)</w:t>
      </w:r>
    </w:p>
    <w:p>
      <w:pPr>
        <w:spacing w:after="160"/>
      </w:pPr>
      <w:r>
        <w:rPr>
          <w:i w:val="0"/>
          <w:sz w:val="20"/>
        </w:rPr>
        <w:t>The pipeline divides labour so that correctness does not depend on the model being good. The model reads the context and copies a value with the span it came from. Python validates that span, selects the formula and performs every piece of arithmetic. Rules abstain whenever validation fails or an operand is missing.</w:t>
      </w:r>
    </w:p>
    <w:tbl>
      <w:tblPr>
        <w:tblStyle w:val="TableGrid"/>
        <w:tblW w:type="auto" w:w="0"/>
        <w:jc w:val="center"/>
        <w:tblLook w:firstColumn="1" w:firstRow="1" w:lastColumn="0" w:lastRow="0" w:noHBand="0" w:noVBand="1" w:val="04A0"/>
      </w:tblPr>
      <w:tblGrid>
        <w:gridCol w:w="3264"/>
        <w:gridCol w:w="3264"/>
        <w:gridCol w:w="3264"/>
      </w:tblGrid>
      <w:tr>
        <w:tc>
          <w:tcPr>
            <w:tcW w:type="dxa" w:w="2160"/>
            <w:shd w:val="clear" w:fill="E8EDF5"/>
          </w:tcPr>
          <w:p>
            <w:r/>
            <w:r>
              <w:rPr>
                <w:b/>
                <w:color w:val="111827"/>
                <w:sz w:val="18"/>
              </w:rPr>
              <w:t>Element</w:t>
            </w:r>
          </w:p>
        </w:tc>
        <w:tc>
          <w:tcPr>
            <w:tcW w:type="dxa" w:w="1296"/>
            <w:shd w:val="clear" w:fill="E8EDF5"/>
          </w:tcPr>
          <w:p>
            <w:r/>
            <w:r>
              <w:rPr>
                <w:b/>
                <w:color w:val="111827"/>
                <w:sz w:val="18"/>
              </w:rPr>
              <w:t>Count</w:t>
            </w:r>
          </w:p>
        </w:tc>
        <w:tc>
          <w:tcPr>
            <w:tcW w:type="dxa" w:w="6048"/>
            <w:shd w:val="clear" w:fill="E8EDF5"/>
          </w:tcPr>
          <w:p>
            <w:r/>
            <w:r>
              <w:rPr>
                <w:b/>
                <w:color w:val="111827"/>
                <w:sz w:val="18"/>
              </w:rPr>
              <w:t>Purpose</w:t>
            </w:r>
          </w:p>
        </w:tc>
      </w:tr>
      <w:tr>
        <w:tc>
          <w:tcPr>
            <w:tcW w:type="dxa" w:w="2160"/>
          </w:tcPr>
          <w:p>
            <w:r/>
            <w:r>
              <w:rPr>
                <w:b/>
                <w:sz w:val="18"/>
              </w:rPr>
              <w:t>Formulas</w:t>
            </w:r>
          </w:p>
        </w:tc>
        <w:tc>
          <w:tcPr>
            <w:tcW w:type="dxa" w:w="1296"/>
          </w:tcPr>
          <w:p>
            <w:r/>
            <w:r>
              <w:rPr>
                <w:sz w:val="18"/>
              </w:rPr>
              <w:t>21</w:t>
            </w:r>
          </w:p>
        </w:tc>
        <w:tc>
          <w:tcPr>
            <w:tcW w:type="dxa" w:w="6048"/>
          </w:tcPr>
          <w:p>
            <w:r/>
            <w:r>
              <w:rPr>
                <w:sz w:val="18"/>
              </w:rPr>
              <w:t>Question wording to operation and operand list</w:t>
            </w:r>
          </w:p>
        </w:tc>
      </w:tr>
      <w:tr>
        <w:tc>
          <w:tcPr>
            <w:tcW w:type="dxa" w:w="2160"/>
          </w:tcPr>
          <w:p>
            <w:r/>
            <w:r>
              <w:rPr>
                <w:b/>
                <w:sz w:val="18"/>
              </w:rPr>
              <w:t>Operations</w:t>
            </w:r>
          </w:p>
        </w:tc>
        <w:tc>
          <w:tcPr>
            <w:tcW w:type="dxa" w:w="1296"/>
          </w:tcPr>
          <w:p>
            <w:r/>
            <w:r>
              <w:rPr>
                <w:sz w:val="18"/>
              </w:rPr>
              <w:t>8</w:t>
            </w:r>
          </w:p>
        </w:tc>
        <w:tc>
          <w:tcPr>
            <w:tcW w:type="dxa" w:w="6048"/>
          </w:tcPr>
          <w:p>
            <w:r/>
            <w:r>
              <w:rPr>
                <w:sz w:val="18"/>
              </w:rPr>
              <w:t>difference, sum, ratio, percentage_of, margin, difference_margin, percentage_change, enterprise_value</w:t>
            </w:r>
          </w:p>
        </w:tc>
      </w:tr>
      <w:tr>
        <w:tc>
          <w:tcPr>
            <w:tcW w:type="dxa" w:w="2160"/>
          </w:tcPr>
          <w:p>
            <w:r/>
            <w:r>
              <w:rPr>
                <w:b/>
                <w:sz w:val="18"/>
              </w:rPr>
              <w:t>Operand fields</w:t>
            </w:r>
          </w:p>
        </w:tc>
        <w:tc>
          <w:tcPr>
            <w:tcW w:type="dxa" w:w="1296"/>
          </w:tcPr>
          <w:p>
            <w:r/>
            <w:r>
              <w:rPr>
                <w:sz w:val="18"/>
              </w:rPr>
              <w:t>24</w:t>
            </w:r>
          </w:p>
        </w:tc>
        <w:tc>
          <w:tcPr>
            <w:tcW w:type="dxa" w:w="6048"/>
          </w:tcPr>
          <w:p>
            <w:r/>
            <w:r>
              <w:rPr>
                <w:sz w:val="18"/>
              </w:rPr>
              <w:t>The canonical operands formulas may request</w:t>
            </w:r>
          </w:p>
        </w:tc>
      </w:tr>
      <w:tr>
        <w:tc>
          <w:tcPr>
            <w:tcW w:type="dxa" w:w="2160"/>
          </w:tcPr>
          <w:p>
            <w:r/>
            <w:r>
              <w:rPr>
                <w:b/>
                <w:sz w:val="18"/>
              </w:rPr>
              <w:t>Captions</w:t>
            </w:r>
          </w:p>
        </w:tc>
        <w:tc>
          <w:tcPr>
            <w:tcW w:type="dxa" w:w="1296"/>
          </w:tcPr>
          <w:p>
            <w:r/>
            <w:r>
              <w:rPr>
                <w:sz w:val="18"/>
              </w:rPr>
              <w:t>147</w:t>
            </w:r>
          </w:p>
        </w:tc>
        <w:tc>
          <w:tcPr>
            <w:tcW w:type="dxa" w:w="6048"/>
          </w:tcPr>
          <w:p>
            <w:r/>
            <w:r>
              <w:rPr>
                <w:sz w:val="18"/>
              </w:rPr>
              <w:t>Statement wordings mapped to those operands</w:t>
            </w:r>
          </w:p>
        </w:tc>
      </w:tr>
    </w:tbl>
    <w:p/>
    <w:p>
      <w:pPr>
        <w:spacing w:after="160"/>
      </w:pPr>
      <w:r>
        <w:rPr>
          <w:i w:val="0"/>
          <w:sz w:val="20"/>
        </w:rPr>
        <w:t>Operand resolution is the reason the pipeline reaches real filings. A formula asks for "total debt"; a statement says "Borrowings". Python resolves the operand to the caption the document actually uses before the model is asked for it, so the model is only ever asked to copy a label that is verbatim in front of it. Matching is exact or qualified-prefix, never substring, and a caption is assigned to whichever operand matches it most specifically - without that, "total debt" would claim "Debtors and cash". (measured: this raised calculation accuracy from 83.3% to 100% on the frozen evaluation set)</w:t>
      </w:r>
    </w:p>
    <w:p>
      <w:pPr>
        <w:pStyle w:val="Heading2"/>
      </w:pPr>
      <w:r>
        <w:t>3.2 Validation Schema (pipeline/schema.py)</w:t>
      </w:r>
    </w:p>
    <w:p>
      <w:pPr>
        <w:spacing w:after="160"/>
      </w:pPr>
      <w:r>
        <w:rPr>
          <w:i w:val="0"/>
          <w:sz w:val="20"/>
        </w:rPr>
        <w:t>An extraction is accepted only if all three conditions hold:</w:t>
      </w:r>
    </w:p>
    <w:p>
      <w:pPr>
        <w:pStyle w:val="ListNumber"/>
        <w:spacing w:after="60"/>
      </w:pPr>
      <w:r>
        <w:rPr>
          <w:sz w:val="20"/>
        </w:rPr>
        <w:t>The model reports the value as found.</w:t>
      </w:r>
    </w:p>
    <w:p>
      <w:pPr>
        <w:pStyle w:val="ListNumber"/>
        <w:spacing w:after="60"/>
      </w:pPr>
      <w:r>
        <w:rPr>
          <w:sz w:val="20"/>
        </w:rPr>
        <w:t>The cited source span appears in the context that was supplied.</w:t>
      </w:r>
    </w:p>
    <w:p>
      <w:pPr>
        <w:pStyle w:val="ListNumber"/>
        <w:spacing w:after="60"/>
      </w:pPr>
      <w:r>
        <w:rPr>
          <w:sz w:val="20"/>
        </w:rPr>
        <w:t>The value occurs inside the span that was cited.</w:t>
      </w:r>
    </w:p>
    <w:p>
      <w:pPr>
        <w:spacing w:after="160"/>
      </w:pPr>
      <w:r>
        <w:rPr>
          <w:i w:val="0"/>
          <w:sz w:val="20"/>
        </w:rPr>
        <w:t>Comparison is whitespace- and Unicode-normalised, because models reflow whitespace and substitute quotation marks when copying; the original span is what gets reported. Any condition failing produces an abstention. A fabricated span cannot satisfy condition two, so a value the document does not contain cannot reach a user.</w:t>
      </w:r>
    </w:p>
    <w:p>
      <w:pPr>
        <w:jc w:val="center"/>
      </w:pPr>
      <w:r>
        <w:drawing>
          <wp:inline xmlns:a="http://schemas.openxmlformats.org/drawingml/2006/main" xmlns:pic="http://schemas.openxmlformats.org/drawingml/2006/picture">
            <wp:extent cx="6035040" cy="3759363"/>
            <wp:docPr id="3" name="Picture 3"/>
            <wp:cNvGraphicFramePr>
              <a:graphicFrameLocks noChangeAspect="1"/>
            </wp:cNvGraphicFramePr>
            <a:graphic>
              <a:graphicData uri="http://schemas.openxmlformats.org/drawingml/2006/picture">
                <pic:pic>
                  <pic:nvPicPr>
                    <pic:cNvPr id="0" name="03_tool_pipeline.png"/>
                    <pic:cNvPicPr/>
                  </pic:nvPicPr>
                  <pic:blipFill>
                    <a:blip r:embed="rId11"/>
                    <a:stretch>
                      <a:fillRect/>
                    </a:stretch>
                  </pic:blipFill>
                  <pic:spPr>
                    <a:xfrm>
                      <a:off x="0" y="0"/>
                      <a:ext cx="6035040" cy="3759363"/>
                    </a:xfrm>
                    <a:prstGeom prst="rect"/>
                  </pic:spPr>
                </pic:pic>
              </a:graphicData>
            </a:graphic>
          </wp:inline>
        </w:drawing>
      </w:r>
    </w:p>
    <w:p>
      <w:pPr>
        <w:spacing w:after="240"/>
        <w:jc w:val="center"/>
      </w:pPr>
      <w:r>
        <w:rPr>
          <w:i/>
          <w:color w:val="6B7280"/>
          <w:sz w:val="17"/>
        </w:rPr>
        <w:t>Figure 3. The four stages of the tool pipeline.</w:t>
      </w:r>
    </w:p>
    <w:p>
      <w:pPr>
        <w:pStyle w:val="Heading2"/>
      </w:pPr>
      <w:r>
        <w:t>3.3 Workspace Scope (services/workspace.py)</w:t>
      </w:r>
    </w:p>
    <w:p>
      <w:pPr>
        <w:spacing w:after="160"/>
      </w:pPr>
      <w:r>
        <w:rPr>
          <w:i w:val="0"/>
          <w:sz w:val="20"/>
        </w:rPr>
        <w:t>A document is answerable only if it belongs to the workspace being viewed. This is a product rule rather than a ranking adjustment: no relevance score should permit one company's filing to answer a question about another's. Uploaded documents join the workspace and become answerable; files present on disk but outside the workspace never answer for it.</w:t>
      </w:r>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This module exists because of a defect found in testing. "What was revenue?" returned Microsoft's quarterly revenue, labelled DOCUMENT GROUNDED with a genuine citation, because the retrieval index held third-party sample excerpts and not the client's filing. A correct-looking citation is not evidence of a correct source.</w:t>
            </w:r>
          </w:p>
        </w:tc>
      </w:tr>
    </w:tbl>
    <w:p/>
    <w:p>
      <w:pPr>
        <w:pStyle w:val="Heading2"/>
      </w:pPr>
      <w:r>
        <w:t>3.4 Value Binding (services/financial_values.py)</w:t>
      </w:r>
    </w:p>
    <w:p>
      <w:pPr>
        <w:spacing w:after="160"/>
      </w:pPr>
      <w:r>
        <w:rPr>
          <w:i w:val="0"/>
          <w:sz w:val="20"/>
        </w:rPr>
        <w:t>Parses financial values from text into records carrying field, value, unit, currency, scale, source span and confidence. Label-to-value association uses nearest-label binding with a backward preference, so a value is attributed to the label that precedes it rather than to a distant heading. Thousands separators are parsed as whole tokens: a malformed separator is rejected rather than read as its leading digits.</w:t>
      </w:r>
    </w:p>
    <w:p>
      <w:pPr>
        <w:pStyle w:val="Heading2"/>
      </w:pPr>
      <w:r>
        <w:t>3.5 Monitoring (services/alerts.py)</w:t>
      </w:r>
    </w:p>
    <w:p>
      <w:pPr>
        <w:spacing w:after="160"/>
      </w:pPr>
      <w:r>
        <w:rPr>
          <w:i w:val="0"/>
          <w:sz w:val="20"/>
        </w:rPr>
        <w:t>Conditions on financial metrics, evaluated against the current filing. The API offers exactly the 13 metrics the engine can compute, so a condition that cannot be tested cannot be created. A metric that is computable in general but absent from the filing in hand evaluates to "not evaluable" with a reason, never to "condition not met" - reading an absence as satisfied would be a silent failure.</w:t>
      </w:r>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There is no scheduler. Conditions are evaluated when the view is opened, and the interface states this in place. A genuine threshold crossing between evaluations is detected and reported; nothing is described as a notification.</w:t>
            </w:r>
          </w:p>
        </w:tc>
      </w:tr>
    </w:tbl>
    <w:p/>
    <w:p>
      <w:pPr>
        <w:pStyle w:val="Heading2"/>
      </w:pPr>
      <w:r>
        <w:t>3.6 Retrieval (rag/)</w:t>
      </w:r>
    </w:p>
    <w:p>
      <w:pPr>
        <w:spacing w:after="160"/>
      </w:pPr>
      <w:r>
        <w:rPr>
          <w:i w:val="0"/>
          <w:sz w:val="20"/>
        </w:rPr>
        <w:t>Documents are loaded, chunked, embedded with TF-IDF and indexed. Chunk text and metadata are persisted to SQLite; embedding vectors are deliberately not persisted, and the vector space is rebuilt in a single reindex on load so it stays internally consistent rather than mixing vectors from an earlier corpus and vocabulary.</w:t>
      </w:r>
    </w:p>
    <w:p>
      <w:pPr>
        <w:pStyle w:val="Heading2"/>
      </w:pPr>
      <w:r>
        <w:t>3.7 Product Views (services/product_views.py)</w:t>
      </w:r>
    </w:p>
    <w:p>
      <w:pPr>
        <w:spacing w:after="160"/>
      </w:pPr>
      <w:r>
        <w:rPr>
          <w:i w:val="0"/>
          <w:sz w:val="20"/>
        </w:rPr>
        <w:t>Comparisons, insights and reports, returned as data so the interface renders and the export serialises without either re-deriving a figure. Each value carries its source and, where derived, the arithmetic that produced it. A line with no prior-year figure is returned as unavailable with a reason, never as a blank that reads like a zero.</w:t>
      </w:r>
    </w:p>
    <w:p>
      <w:pPr>
        <w:pStyle w:val="Heading1"/>
      </w:pPr>
      <w:r>
        <w:t>4. Document Lifecycle</w:t>
      </w:r>
    </w:p>
    <w:p>
      <w:pPr>
        <w:spacing w:after="160"/>
      </w:pPr>
      <w:r>
        <w:rPr>
          <w:i w:val="0"/>
          <w:sz w:val="20"/>
        </w:rPr>
        <w:t>A filing passes through seven stages before it can answer a question. Status is reported from the actual stage reached; progress is never simulated.</w:t>
      </w:r>
    </w:p>
    <w:p>
      <w:pPr>
        <w:jc w:val="center"/>
      </w:pPr>
      <w:r>
        <w:drawing>
          <wp:inline xmlns:a="http://schemas.openxmlformats.org/drawingml/2006/main" xmlns:pic="http://schemas.openxmlformats.org/drawingml/2006/picture">
            <wp:extent cx="6217920" cy="2665332"/>
            <wp:docPr id="4" name="Picture 4"/>
            <wp:cNvGraphicFramePr>
              <a:graphicFrameLocks noChangeAspect="1"/>
            </wp:cNvGraphicFramePr>
            <a:graphic>
              <a:graphicData uri="http://schemas.openxmlformats.org/drawingml/2006/picture">
                <pic:pic>
                  <pic:nvPicPr>
                    <pic:cNvPr id="0" name="04_document_lifecycle.png"/>
                    <pic:cNvPicPr/>
                  </pic:nvPicPr>
                  <pic:blipFill>
                    <a:blip r:embed="rId12"/>
                    <a:stretch>
                      <a:fillRect/>
                    </a:stretch>
                  </pic:blipFill>
                  <pic:spPr>
                    <a:xfrm>
                      <a:off x="0" y="0"/>
                      <a:ext cx="6217920" cy="2665332"/>
                    </a:xfrm>
                    <a:prstGeom prst="rect"/>
                  </pic:spPr>
                </pic:pic>
              </a:graphicData>
            </a:graphic>
          </wp:inline>
        </w:drawing>
      </w:r>
    </w:p>
    <w:p>
      <w:pPr>
        <w:spacing w:after="240"/>
        <w:jc w:val="center"/>
      </w:pPr>
      <w:r>
        <w:rPr>
          <w:i/>
          <w:color w:val="6B7280"/>
          <w:sz w:val="17"/>
        </w:rPr>
        <w:t>Figure 4. Document lifecycle, from upload to answerable record.</w:t>
      </w:r>
    </w:p>
    <w:tbl>
      <w:tblPr>
        <w:tblStyle w:val="TableGrid"/>
        <w:tblW w:type="auto" w:w="0"/>
        <w:jc w:val="center"/>
        <w:tblLook w:firstColumn="1" w:firstRow="1" w:lastColumn="0" w:lastRow="0" w:noHBand="0" w:noVBand="1" w:val="04A0"/>
      </w:tblPr>
      <w:tblGrid>
        <w:gridCol w:w="3264"/>
        <w:gridCol w:w="3264"/>
        <w:gridCol w:w="3264"/>
      </w:tblGrid>
      <w:tr>
        <w:tc>
          <w:tcPr>
            <w:tcW w:type="dxa" w:w="1584"/>
            <w:shd w:val="clear" w:fill="E8EDF5"/>
          </w:tcPr>
          <w:p>
            <w:r/>
            <w:r>
              <w:rPr>
                <w:b/>
                <w:color w:val="111827"/>
                <w:sz w:val="18"/>
              </w:rPr>
              <w:t>Stage</w:t>
            </w:r>
          </w:p>
        </w:tc>
        <w:tc>
          <w:tcPr>
            <w:tcW w:type="dxa" w:w="3312"/>
            <w:shd w:val="clear" w:fill="E8EDF5"/>
          </w:tcPr>
          <w:p>
            <w:r/>
            <w:r>
              <w:rPr>
                <w:b/>
                <w:color w:val="111827"/>
                <w:sz w:val="18"/>
              </w:rPr>
              <w:t>Module</w:t>
            </w:r>
          </w:p>
        </w:tc>
        <w:tc>
          <w:tcPr>
            <w:tcW w:type="dxa" w:w="4608"/>
            <w:shd w:val="clear" w:fill="E8EDF5"/>
          </w:tcPr>
          <w:p>
            <w:r/>
            <w:r>
              <w:rPr>
                <w:b/>
                <w:color w:val="111827"/>
                <w:sz w:val="18"/>
              </w:rPr>
              <w:t>Outcome</w:t>
            </w:r>
          </w:p>
        </w:tc>
      </w:tr>
      <w:tr>
        <w:tc>
          <w:tcPr>
            <w:tcW w:type="dxa" w:w="1584"/>
          </w:tcPr>
          <w:p>
            <w:r/>
            <w:r>
              <w:rPr>
                <w:b/>
                <w:sz w:val="18"/>
              </w:rPr>
              <w:t>Upload</w:t>
            </w:r>
          </w:p>
        </w:tc>
        <w:tc>
          <w:tcPr>
            <w:tcW w:type="dxa" w:w="3312"/>
          </w:tcPr>
          <w:p>
            <w:r/>
            <w:r>
              <w:rPr>
                <w:sz w:val="18"/>
              </w:rPr>
              <w:t>POST /api/document/upload</w:t>
            </w:r>
          </w:p>
        </w:tc>
        <w:tc>
          <w:tcPr>
            <w:tcW w:type="dxa" w:w="4608"/>
          </w:tcPr>
          <w:p>
            <w:r/>
            <w:r>
              <w:rPr>
                <w:sz w:val="18"/>
              </w:rPr>
              <w:t>File received</w:t>
            </w:r>
          </w:p>
        </w:tc>
      </w:tr>
      <w:tr>
        <w:tc>
          <w:tcPr>
            <w:tcW w:type="dxa" w:w="1584"/>
          </w:tcPr>
          <w:p>
            <w:r/>
            <w:r>
              <w:rPr>
                <w:b/>
                <w:sz w:val="18"/>
              </w:rPr>
              <w:t>Validate</w:t>
            </w:r>
          </w:p>
        </w:tc>
        <w:tc>
          <w:tcPr>
            <w:tcW w:type="dxa" w:w="3312"/>
          </w:tcPr>
          <w:p>
            <w:r/>
            <w:r>
              <w:rPr>
                <w:sz w:val="18"/>
              </w:rPr>
              <w:t>security.py</w:t>
            </w:r>
          </w:p>
        </w:tc>
        <w:tc>
          <w:tcPr>
            <w:tcW w:type="dxa" w:w="4608"/>
          </w:tcPr>
          <w:p>
            <w:r/>
            <w:r>
              <w:rPr>
                <w:sz w:val="18"/>
              </w:rPr>
              <w:t>Extension, size and path confinement checked</w:t>
            </w:r>
          </w:p>
        </w:tc>
      </w:tr>
      <w:tr>
        <w:tc>
          <w:tcPr>
            <w:tcW w:type="dxa" w:w="1584"/>
          </w:tcPr>
          <w:p>
            <w:r/>
            <w:r>
              <w:rPr>
                <w:b/>
                <w:sz w:val="18"/>
              </w:rPr>
              <w:t>Store</w:t>
            </w:r>
          </w:p>
        </w:tc>
        <w:tc>
          <w:tcPr>
            <w:tcW w:type="dxa" w:w="3312"/>
          </w:tcPr>
          <w:p>
            <w:r/>
            <w:r>
              <w:rPr>
                <w:sz w:val="18"/>
              </w:rPr>
              <w:t>data/documents/</w:t>
            </w:r>
          </w:p>
        </w:tc>
        <w:tc>
          <w:tcPr>
            <w:tcW w:type="dxa" w:w="4608"/>
          </w:tcPr>
          <w:p>
            <w:r/>
            <w:r>
              <w:rPr>
                <w:sz w:val="18"/>
              </w:rPr>
              <w:t>Written beneath the document root</w:t>
            </w:r>
          </w:p>
        </w:tc>
      </w:tr>
      <w:tr>
        <w:tc>
          <w:tcPr>
            <w:tcW w:type="dxa" w:w="1584"/>
          </w:tcPr>
          <w:p>
            <w:r/>
            <w:r>
              <w:rPr>
                <w:b/>
                <w:sz w:val="18"/>
              </w:rPr>
              <w:t>Chunk</w:t>
            </w:r>
          </w:p>
        </w:tc>
        <w:tc>
          <w:tcPr>
            <w:tcW w:type="dxa" w:w="3312"/>
          </w:tcPr>
          <w:p>
            <w:r/>
            <w:r>
              <w:rPr>
                <w:sz w:val="18"/>
              </w:rPr>
              <w:t>rag/document_loader.py</w:t>
            </w:r>
          </w:p>
        </w:tc>
        <w:tc>
          <w:tcPr>
            <w:tcW w:type="dxa" w:w="4608"/>
          </w:tcPr>
          <w:p>
            <w:r/>
            <w:r>
              <w:rPr>
                <w:sz w:val="18"/>
              </w:rPr>
              <w:t>Split into overlapping chunks</w:t>
            </w:r>
          </w:p>
        </w:tc>
      </w:tr>
      <w:tr>
        <w:tc>
          <w:tcPr>
            <w:tcW w:type="dxa" w:w="1584"/>
          </w:tcPr>
          <w:p>
            <w:r/>
            <w:r>
              <w:rPr>
                <w:b/>
                <w:sz w:val="18"/>
              </w:rPr>
              <w:t>Index</w:t>
            </w:r>
          </w:p>
        </w:tc>
        <w:tc>
          <w:tcPr>
            <w:tcW w:type="dxa" w:w="3312"/>
          </w:tcPr>
          <w:p>
            <w:r/>
            <w:r>
              <w:rPr>
                <w:sz w:val="18"/>
              </w:rPr>
              <w:t>rag/retriever.py</w:t>
            </w:r>
          </w:p>
        </w:tc>
        <w:tc>
          <w:tcPr>
            <w:tcW w:type="dxa" w:w="4608"/>
          </w:tcPr>
          <w:p>
            <w:r/>
            <w:r>
              <w:rPr>
                <w:sz w:val="18"/>
              </w:rPr>
              <w:t>TF-IDF vectors built, chunks persisted</w:t>
            </w:r>
          </w:p>
        </w:tc>
      </w:tr>
      <w:tr>
        <w:tc>
          <w:tcPr>
            <w:tcW w:type="dxa" w:w="1584"/>
          </w:tcPr>
          <w:p>
            <w:r/>
            <w:r>
              <w:rPr>
                <w:b/>
                <w:sz w:val="18"/>
              </w:rPr>
              <w:t>Register</w:t>
            </w:r>
          </w:p>
        </w:tc>
        <w:tc>
          <w:tcPr>
            <w:tcW w:type="dxa" w:w="3312"/>
          </w:tcPr>
          <w:p>
            <w:r/>
            <w:r>
              <w:rPr>
                <w:sz w:val="18"/>
              </w:rPr>
              <w:t>services/workspace.py</w:t>
            </w:r>
          </w:p>
        </w:tc>
        <w:tc>
          <w:tcPr>
            <w:tcW w:type="dxa" w:w="4608"/>
          </w:tcPr>
          <w:p>
            <w:r/>
            <w:r>
              <w:rPr>
                <w:sz w:val="18"/>
              </w:rPr>
              <w:t>Added to the workspace manifest</w:t>
            </w:r>
          </w:p>
        </w:tc>
      </w:tr>
      <w:tr>
        <w:tc>
          <w:tcPr>
            <w:tcW w:type="dxa" w:w="1584"/>
          </w:tcPr>
          <w:p>
            <w:r/>
            <w:r>
              <w:rPr>
                <w:b/>
                <w:sz w:val="18"/>
              </w:rPr>
              <w:t>Answerable</w:t>
            </w:r>
          </w:p>
        </w:tc>
        <w:tc>
          <w:tcPr>
            <w:tcW w:type="dxa" w:w="3312"/>
          </w:tcPr>
          <w:p>
            <w:r/>
            <w:r>
              <w:rPr>
                <w:sz w:val="18"/>
              </w:rPr>
              <w:t>-</w:t>
            </w:r>
          </w:p>
        </w:tc>
        <w:tc>
          <w:tcPr>
            <w:tcW w:type="dxa" w:w="4608"/>
          </w:tcPr>
          <w:p>
            <w:r/>
            <w:r>
              <w:rPr>
                <w:sz w:val="18"/>
              </w:rPr>
              <w:t>Available to scoped Q&amp;A and extraction</w:t>
            </w:r>
          </w:p>
        </w:tc>
      </w:tr>
    </w:tbl>
    <w:p/>
    <w:p>
      <w:pPr>
        <w:pStyle w:val="Heading1"/>
      </w:pPr>
      <w:r>
        <w:t>5. API Reference</w:t>
      </w:r>
    </w:p>
    <w:p>
      <w:pPr>
        <w:spacing w:after="160"/>
      </w:pPr>
      <w:r>
        <w:rPr>
          <w:i w:val="0"/>
          <w:sz w:val="20"/>
        </w:rPr>
        <w:t>Selected endpoints. All accept and return JSON; all are served from the same origin as the interface.</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fill="E8EDF5"/>
          </w:tcPr>
          <w:p>
            <w:r/>
            <w:r>
              <w:rPr>
                <w:b/>
                <w:color w:val="111827"/>
                <w:sz w:val="18"/>
              </w:rPr>
              <w:t>Method</w:t>
            </w:r>
          </w:p>
        </w:tc>
        <w:tc>
          <w:tcPr>
            <w:tcW w:type="dxa" w:w="3312"/>
            <w:shd w:val="clear" w:fill="E8EDF5"/>
          </w:tcPr>
          <w:p>
            <w:r/>
            <w:r>
              <w:rPr>
                <w:b/>
                <w:color w:val="111827"/>
                <w:sz w:val="18"/>
              </w:rPr>
              <w:t>Endpoint</w:t>
            </w:r>
          </w:p>
        </w:tc>
        <w:tc>
          <w:tcPr>
            <w:tcW w:type="dxa" w:w="5040"/>
            <w:shd w:val="clear" w:fill="E8EDF5"/>
          </w:tcPr>
          <w:p>
            <w:r/>
            <w:r>
              <w:rPr>
                <w:b/>
                <w:color w:val="111827"/>
                <w:sz w:val="18"/>
              </w:rPr>
              <w:t>Purpose</w:t>
            </w:r>
          </w:p>
        </w:tc>
      </w:tr>
      <w:tr>
        <w:tc>
          <w:tcPr>
            <w:tcW w:type="dxa" w:w="1152"/>
          </w:tcPr>
          <w:p>
            <w:r/>
            <w:r>
              <w:rPr>
                <w:b/>
                <w:sz w:val="18"/>
              </w:rPr>
              <w:t>GET</w:t>
            </w:r>
          </w:p>
        </w:tc>
        <w:tc>
          <w:tcPr>
            <w:tcW w:type="dxa" w:w="3312"/>
          </w:tcPr>
          <w:p>
            <w:r/>
            <w:r>
              <w:rPr>
                <w:sz w:val="18"/>
              </w:rPr>
              <w:t>/api/health</w:t>
            </w:r>
          </w:p>
        </w:tc>
        <w:tc>
          <w:tcPr>
            <w:tcW w:type="dxa" w:w="5040"/>
          </w:tcPr>
          <w:p>
            <w:r/>
            <w:r>
              <w:rPr>
                <w:sz w:val="18"/>
              </w:rPr>
              <w:t>Service and checkpoint status</w:t>
            </w:r>
          </w:p>
        </w:tc>
      </w:tr>
      <w:tr>
        <w:tc>
          <w:tcPr>
            <w:tcW w:type="dxa" w:w="1152"/>
          </w:tcPr>
          <w:p>
            <w:r/>
            <w:r>
              <w:rPr>
                <w:b/>
                <w:sz w:val="18"/>
              </w:rPr>
              <w:t>GET</w:t>
            </w:r>
          </w:p>
        </w:tc>
        <w:tc>
          <w:tcPr>
            <w:tcW w:type="dxa" w:w="3312"/>
          </w:tcPr>
          <w:p>
            <w:r/>
            <w:r>
              <w:rPr>
                <w:sz w:val="18"/>
              </w:rPr>
              <w:t>/api/company</w:t>
            </w:r>
          </w:p>
        </w:tc>
        <w:tc>
          <w:tcPr>
            <w:tcW w:type="dxa" w:w="5040"/>
          </w:tcPr>
          <w:p>
            <w:r/>
            <w:r>
              <w:rPr>
                <w:sz w:val="18"/>
              </w:rPr>
              <w:t>Verified company profile and headline metrics</w:t>
            </w:r>
          </w:p>
        </w:tc>
      </w:tr>
      <w:tr>
        <w:tc>
          <w:tcPr>
            <w:tcW w:type="dxa" w:w="1152"/>
          </w:tcPr>
          <w:p>
            <w:r/>
            <w:r>
              <w:rPr>
                <w:b/>
                <w:sz w:val="18"/>
              </w:rPr>
              <w:t>POST</w:t>
            </w:r>
          </w:p>
        </w:tc>
        <w:tc>
          <w:tcPr>
            <w:tcW w:type="dxa" w:w="3312"/>
          </w:tcPr>
          <w:p>
            <w:r/>
            <w:r>
              <w:rPr>
                <w:sz w:val="18"/>
              </w:rPr>
              <w:t>/api/financial/calculate</w:t>
            </w:r>
          </w:p>
        </w:tc>
        <w:tc>
          <w:tcPr>
            <w:tcW w:type="dxa" w:w="5040"/>
          </w:tcPr>
          <w:p>
            <w:r/>
            <w:r>
              <w:rPr>
                <w:sz w:val="18"/>
              </w:rPr>
              <w:t>Deterministic metric calculation</w:t>
            </w:r>
          </w:p>
        </w:tc>
      </w:tr>
      <w:tr>
        <w:tc>
          <w:tcPr>
            <w:tcW w:type="dxa" w:w="1152"/>
          </w:tcPr>
          <w:p>
            <w:r/>
            <w:r>
              <w:rPr>
                <w:b/>
                <w:sz w:val="18"/>
              </w:rPr>
              <w:t>POST</w:t>
            </w:r>
          </w:p>
        </w:tc>
        <w:tc>
          <w:tcPr>
            <w:tcW w:type="dxa" w:w="3312"/>
          </w:tcPr>
          <w:p>
            <w:r/>
            <w:r>
              <w:rPr>
                <w:sz w:val="18"/>
              </w:rPr>
              <w:t>/api/financial/full-analysis</w:t>
            </w:r>
          </w:p>
        </w:tc>
        <w:tc>
          <w:tcPr>
            <w:tcW w:type="dxa" w:w="5040"/>
          </w:tcPr>
          <w:p>
            <w:r/>
            <w:r>
              <w:rPr>
                <w:sz w:val="18"/>
              </w:rPr>
              <w:t>Metrics, risks, recommendations, executive summary</w:t>
            </w:r>
          </w:p>
        </w:tc>
      </w:tr>
      <w:tr>
        <w:tc>
          <w:tcPr>
            <w:tcW w:type="dxa" w:w="1152"/>
          </w:tcPr>
          <w:p>
            <w:r/>
            <w:r>
              <w:rPr>
                <w:b/>
                <w:sz w:val="18"/>
              </w:rPr>
              <w:t>POST</w:t>
            </w:r>
          </w:p>
        </w:tc>
        <w:tc>
          <w:tcPr>
            <w:tcW w:type="dxa" w:w="3312"/>
          </w:tcPr>
          <w:p>
            <w:r/>
            <w:r>
              <w:rPr>
                <w:sz w:val="18"/>
              </w:rPr>
              <w:t>/api/document/upload</w:t>
            </w:r>
          </w:p>
        </w:tc>
        <w:tc>
          <w:tcPr>
            <w:tcW w:type="dxa" w:w="5040"/>
          </w:tcPr>
          <w:p>
            <w:r/>
            <w:r>
              <w:rPr>
                <w:sz w:val="18"/>
              </w:rPr>
              <w:t>Upload and index a filing</w:t>
            </w:r>
          </w:p>
        </w:tc>
      </w:tr>
      <w:tr>
        <w:tc>
          <w:tcPr>
            <w:tcW w:type="dxa" w:w="1152"/>
          </w:tcPr>
          <w:p>
            <w:r/>
            <w:r>
              <w:rPr>
                <w:b/>
                <w:sz w:val="18"/>
              </w:rPr>
              <w:t>POST</w:t>
            </w:r>
          </w:p>
        </w:tc>
        <w:tc>
          <w:tcPr>
            <w:tcW w:type="dxa" w:w="3312"/>
          </w:tcPr>
          <w:p>
            <w:r/>
            <w:r>
              <w:rPr>
                <w:sz w:val="18"/>
              </w:rPr>
              <w:t>/api/document/query</w:t>
            </w:r>
          </w:p>
        </w:tc>
        <w:tc>
          <w:tcPr>
            <w:tcW w:type="dxa" w:w="5040"/>
          </w:tcPr>
          <w:p>
            <w:r/>
            <w:r>
              <w:rPr>
                <w:sz w:val="18"/>
              </w:rPr>
              <w:t>Workspace-scoped grounded question answering</w:t>
            </w:r>
          </w:p>
        </w:tc>
      </w:tr>
      <w:tr>
        <w:tc>
          <w:tcPr>
            <w:tcW w:type="dxa" w:w="1152"/>
          </w:tcPr>
          <w:p>
            <w:r/>
            <w:r>
              <w:rPr>
                <w:b/>
                <w:sz w:val="18"/>
              </w:rPr>
              <w:t>POST</w:t>
            </w:r>
          </w:p>
        </w:tc>
        <w:tc>
          <w:tcPr>
            <w:tcW w:type="dxa" w:w="3312"/>
          </w:tcPr>
          <w:p>
            <w:r/>
            <w:r>
              <w:rPr>
                <w:sz w:val="18"/>
              </w:rPr>
              <w:t>/api/copilot/chat</w:t>
            </w:r>
          </w:p>
        </w:tc>
        <w:tc>
          <w:tcPr>
            <w:tcW w:type="dxa" w:w="5040"/>
          </w:tcPr>
          <w:p>
            <w:r/>
            <w:r>
              <w:rPr>
                <w:sz w:val="18"/>
              </w:rPr>
              <w:t>Financial Analyst conversation</w:t>
            </w:r>
          </w:p>
        </w:tc>
      </w:tr>
      <w:tr>
        <w:tc>
          <w:tcPr>
            <w:tcW w:type="dxa" w:w="1152"/>
          </w:tcPr>
          <w:p>
            <w:r/>
            <w:r>
              <w:rPr>
                <w:b/>
                <w:sz w:val="18"/>
              </w:rPr>
              <w:t>POST</w:t>
            </w:r>
          </w:p>
        </w:tc>
        <w:tc>
          <w:tcPr>
            <w:tcW w:type="dxa" w:w="3312"/>
          </w:tcPr>
          <w:p>
            <w:r/>
            <w:r>
              <w:rPr>
                <w:sz w:val="18"/>
              </w:rPr>
              <w:t>/api/risk/analyze</w:t>
            </w:r>
          </w:p>
        </w:tc>
        <w:tc>
          <w:tcPr>
            <w:tcW w:type="dxa" w:w="5040"/>
          </w:tcPr>
          <w:p>
            <w:r/>
            <w:r>
              <w:rPr>
                <w:sz w:val="18"/>
              </w:rPr>
              <w:t>Risk assessment with evidence</w:t>
            </w:r>
          </w:p>
        </w:tc>
      </w:tr>
      <w:tr>
        <w:tc>
          <w:tcPr>
            <w:tcW w:type="dxa" w:w="1152"/>
          </w:tcPr>
          <w:p>
            <w:r/>
            <w:r>
              <w:rPr>
                <w:b/>
                <w:sz w:val="18"/>
              </w:rPr>
              <w:t>GET</w:t>
            </w:r>
          </w:p>
        </w:tc>
        <w:tc>
          <w:tcPr>
            <w:tcW w:type="dxa" w:w="3312"/>
          </w:tcPr>
          <w:p>
            <w:r/>
            <w:r>
              <w:rPr>
                <w:sz w:val="18"/>
              </w:rPr>
              <w:t>/api/comparison</w:t>
            </w:r>
          </w:p>
        </w:tc>
        <w:tc>
          <w:tcPr>
            <w:tcW w:type="dxa" w:w="5040"/>
          </w:tcPr>
          <w:p>
            <w:r/>
            <w:r>
              <w:rPr>
                <w:sz w:val="18"/>
              </w:rPr>
              <w:t>Period comparison with per-line availability</w:t>
            </w:r>
          </w:p>
        </w:tc>
      </w:tr>
      <w:tr>
        <w:tc>
          <w:tcPr>
            <w:tcW w:type="dxa" w:w="1152"/>
          </w:tcPr>
          <w:p>
            <w:r/>
            <w:r>
              <w:rPr>
                <w:b/>
                <w:sz w:val="18"/>
              </w:rPr>
              <w:t>GET</w:t>
            </w:r>
          </w:p>
        </w:tc>
        <w:tc>
          <w:tcPr>
            <w:tcW w:type="dxa" w:w="3312"/>
          </w:tcPr>
          <w:p>
            <w:r/>
            <w:r>
              <w:rPr>
                <w:sz w:val="18"/>
              </w:rPr>
              <w:t>/api/insights</w:t>
            </w:r>
          </w:p>
        </w:tc>
        <w:tc>
          <w:tcPr>
            <w:tcW w:type="dxa" w:w="5040"/>
          </w:tcPr>
          <w:p>
            <w:r/>
            <w:r>
              <w:rPr>
                <w:sz w:val="18"/>
              </w:rPr>
              <w:t>Evidence-backed observations</w:t>
            </w:r>
          </w:p>
        </w:tc>
      </w:tr>
      <w:tr>
        <w:tc>
          <w:tcPr>
            <w:tcW w:type="dxa" w:w="1152"/>
          </w:tcPr>
          <w:p>
            <w:r/>
            <w:r>
              <w:rPr>
                <w:b/>
                <w:sz w:val="18"/>
              </w:rPr>
              <w:t>GET|POST</w:t>
            </w:r>
          </w:p>
        </w:tc>
        <w:tc>
          <w:tcPr>
            <w:tcW w:type="dxa" w:w="3312"/>
          </w:tcPr>
          <w:p>
            <w:r/>
            <w:r>
              <w:rPr>
                <w:sz w:val="18"/>
              </w:rPr>
              <w:t>/api/report/generate</w:t>
            </w:r>
          </w:p>
        </w:tc>
        <w:tc>
          <w:tcPr>
            <w:tcW w:type="dxa" w:w="5040"/>
          </w:tcPr>
          <w:p>
            <w:r/>
            <w:r>
              <w:rPr>
                <w:sz w:val="18"/>
              </w:rPr>
              <w:t>Financial report as structured sections</w:t>
            </w:r>
          </w:p>
        </w:tc>
      </w:tr>
      <w:tr>
        <w:tc>
          <w:tcPr>
            <w:tcW w:type="dxa" w:w="1152"/>
          </w:tcPr>
          <w:p>
            <w:r/>
            <w:r>
              <w:rPr>
                <w:b/>
                <w:sz w:val="18"/>
              </w:rPr>
              <w:t>GET</w:t>
            </w:r>
          </w:p>
        </w:tc>
        <w:tc>
          <w:tcPr>
            <w:tcW w:type="dxa" w:w="3312"/>
          </w:tcPr>
          <w:p>
            <w:r/>
            <w:r>
              <w:rPr>
                <w:sz w:val="18"/>
              </w:rPr>
              <w:t>/api/alerts</w:t>
            </w:r>
          </w:p>
        </w:tc>
        <w:tc>
          <w:tcPr>
            <w:tcW w:type="dxa" w:w="5040"/>
          </w:tcPr>
          <w:p>
            <w:r/>
            <w:r>
              <w:rPr>
                <w:sz w:val="18"/>
              </w:rPr>
              <w:t>Monitoring conditions evaluated against the filing</w:t>
            </w:r>
          </w:p>
        </w:tc>
      </w:tr>
      <w:tr>
        <w:tc>
          <w:tcPr>
            <w:tcW w:type="dxa" w:w="1152"/>
          </w:tcPr>
          <w:p>
            <w:r/>
            <w:r>
              <w:rPr>
                <w:b/>
                <w:sz w:val="18"/>
              </w:rPr>
              <w:t>GET</w:t>
            </w:r>
          </w:p>
        </w:tc>
        <w:tc>
          <w:tcPr>
            <w:tcW w:type="dxa" w:w="3312"/>
          </w:tcPr>
          <w:p>
            <w:r/>
            <w:r>
              <w:rPr>
                <w:sz w:val="18"/>
              </w:rPr>
              <w:t>/api/alerts/metrics</w:t>
            </w:r>
          </w:p>
        </w:tc>
        <w:tc>
          <w:tcPr>
            <w:tcW w:type="dxa" w:w="5040"/>
          </w:tcPr>
          <w:p>
            <w:r/>
            <w:r>
              <w:rPr>
                <w:sz w:val="18"/>
              </w:rPr>
              <w:t>The metrics a condition may name</w:t>
            </w:r>
          </w:p>
        </w:tc>
      </w:tr>
      <w:tr>
        <w:tc>
          <w:tcPr>
            <w:tcW w:type="dxa" w:w="1152"/>
          </w:tcPr>
          <w:p>
            <w:r/>
            <w:r>
              <w:rPr>
                <w:b/>
                <w:sz w:val="18"/>
              </w:rPr>
              <w:t>POST</w:t>
            </w:r>
          </w:p>
        </w:tc>
        <w:tc>
          <w:tcPr>
            <w:tcW w:type="dxa" w:w="3312"/>
          </w:tcPr>
          <w:p>
            <w:r/>
            <w:r>
              <w:rPr>
                <w:sz w:val="18"/>
              </w:rPr>
              <w:t>/api/alerts/create</w:t>
            </w:r>
          </w:p>
        </w:tc>
        <w:tc>
          <w:tcPr>
            <w:tcW w:type="dxa" w:w="5040"/>
          </w:tcPr>
          <w:p>
            <w:r/>
            <w:r>
              <w:rPr>
                <w:sz w:val="18"/>
              </w:rPr>
              <w:t>Create a condition; refuses unknown metrics</w:t>
            </w:r>
          </w:p>
        </w:tc>
      </w:tr>
      <w:tr>
        <w:tc>
          <w:tcPr>
            <w:tcW w:type="dxa" w:w="1152"/>
          </w:tcPr>
          <w:p>
            <w:r/>
            <w:r>
              <w:rPr>
                <w:b/>
                <w:sz w:val="18"/>
              </w:rPr>
              <w:t>GET</w:t>
            </w:r>
          </w:p>
        </w:tc>
        <w:tc>
          <w:tcPr>
            <w:tcW w:type="dxa" w:w="3312"/>
          </w:tcPr>
          <w:p>
            <w:r/>
            <w:r>
              <w:rPr>
                <w:sz w:val="18"/>
              </w:rPr>
              <w:t>/api/analyses</w:t>
            </w:r>
          </w:p>
        </w:tc>
        <w:tc>
          <w:tcPr>
            <w:tcW w:type="dxa" w:w="5040"/>
          </w:tcPr>
          <w:p>
            <w:r/>
            <w:r>
              <w:rPr>
                <w:sz w:val="18"/>
              </w:rPr>
              <w:t>Saved analyses, newest first</w:t>
            </w:r>
          </w:p>
        </w:tc>
      </w:tr>
      <w:tr>
        <w:tc>
          <w:tcPr>
            <w:tcW w:type="dxa" w:w="1152"/>
          </w:tcPr>
          <w:p>
            <w:r/>
            <w:r>
              <w:rPr>
                <w:b/>
                <w:sz w:val="18"/>
              </w:rPr>
              <w:t>POST</w:t>
            </w:r>
          </w:p>
        </w:tc>
        <w:tc>
          <w:tcPr>
            <w:tcW w:type="dxa" w:w="3312"/>
          </w:tcPr>
          <w:p>
            <w:r/>
            <w:r>
              <w:rPr>
                <w:sz w:val="18"/>
              </w:rPr>
              <w:t>/api/analyses/save</w:t>
            </w:r>
          </w:p>
        </w:tc>
        <w:tc>
          <w:tcPr>
            <w:tcW w:type="dxa" w:w="5040"/>
          </w:tcPr>
          <w:p>
            <w:r/>
            <w:r>
              <w:rPr>
                <w:sz w:val="18"/>
              </w:rPr>
              <w:t>Persist a named snapshot of a view</w:t>
            </w:r>
          </w:p>
        </w:tc>
      </w:tr>
      <w:tr>
        <w:tc>
          <w:tcPr>
            <w:tcW w:type="dxa" w:w="1152"/>
          </w:tcPr>
          <w:p>
            <w:r/>
            <w:r>
              <w:rPr>
                <w:b/>
                <w:sz w:val="18"/>
              </w:rPr>
              <w:t>GET</w:t>
            </w:r>
          </w:p>
        </w:tc>
        <w:tc>
          <w:tcPr>
            <w:tcW w:type="dxa" w:w="3312"/>
          </w:tcPr>
          <w:p>
            <w:r/>
            <w:r>
              <w:rPr>
                <w:sz w:val="18"/>
              </w:rPr>
              <w:t>/api/analyst/engine</w:t>
            </w:r>
          </w:p>
        </w:tc>
        <w:tc>
          <w:tcPr>
            <w:tcW w:type="dxa" w:w="5040"/>
          </w:tcPr>
          <w:p>
            <w:r/>
            <w:r>
              <w:rPr>
                <w:sz w:val="18"/>
              </w:rPr>
              <w:t>Which engine serves the Analyst, and why</w:t>
            </w:r>
          </w:p>
        </w:tc>
      </w:tr>
    </w:tbl>
    <w:p/>
    <w:p>
      <w:pPr>
        <w:spacing w:after="160"/>
      </w:pPr>
      <w:r>
        <w:rPr>
          <w:i w:val="0"/>
          <w:sz w:val="20"/>
        </w:rPr>
        <w:t>Example - a grounded answer and its evidence:</w:t>
      </w:r>
    </w:p>
    <w:p>
      <w:pPr>
        <w:spacing w:after="160"/>
        <w:ind w:left="360"/>
      </w:pPr>
      <w:r>
        <w:rPr>
          <w:rFonts w:ascii="Consolas" w:hAnsi="Consolas"/>
          <w:sz w:val="17"/>
        </w:rPr>
        <w:t>POST /api/document/query</w:t>
        <w:br/>
        <w:t>{ "query": "What was revenue?" }</w:t>
        <w:br/>
        <w:br/>
        <w:t>{ "grounded": true,</w:t>
        <w:br/>
        <w:t xml:space="preserve">  "status": "DOCUMENT GROUNDED",</w:t>
        <w:br/>
        <w:t xml:space="preserve">  "answer": "... total consolidated revenue of $10,000,000 (AUD) ...",</w:t>
        <w:br/>
        <w:t xml:space="preserve">  "citation": "Aivora_Enterprise_Client_FY2025_Report.txt" }</w:t>
      </w:r>
    </w:p>
    <w:p>
      <w:pPr>
        <w:spacing w:after="160"/>
      </w:pPr>
      <w:r>
        <w:rPr>
          <w:i w:val="0"/>
          <w:sz w:val="20"/>
        </w:rPr>
        <w:t>Example - a refusal, which is a correct answer:</w:t>
      </w:r>
    </w:p>
    <w:p>
      <w:pPr>
        <w:spacing w:after="160"/>
        <w:ind w:left="360"/>
      </w:pPr>
      <w:r>
        <w:rPr>
          <w:rFonts w:ascii="Consolas" w:hAnsi="Consolas"/>
          <w:sz w:val="17"/>
        </w:rPr>
        <w:t>POST /api/document/query</w:t>
        <w:br/>
        <w:t>{ "query": "What will revenue be in FY2030?" }</w:t>
        <w:br/>
        <w:br/>
        <w:t>{ "grounded": false,</w:t>
        <w:br/>
        <w:t xml:space="preserve">  "status": "INFORMATION NOT AVAILABLE",</w:t>
        <w:br/>
        <w:t xml:space="preserve">  "answer": "The provided document does not contain sufficient</w:t>
        <w:br/>
        <w:t xml:space="preserve">              information to determine FY2030 revenue.",</w:t>
        <w:br/>
        <w:t xml:space="preserve">  "explanation": "Corporate filings do not contain FY2030 forecasts." }</w:t>
      </w:r>
    </w:p>
    <w:p>
      <w:pPr>
        <w:pStyle w:val="Heading1"/>
      </w:pPr>
      <w:r>
        <w:t>6. Data &amp; Persistence</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8EDF5"/>
          </w:tcPr>
          <w:p>
            <w:r/>
            <w:r>
              <w:rPr>
                <w:b/>
                <w:color w:val="111827"/>
                <w:sz w:val="18"/>
              </w:rPr>
              <w:t>Store</w:t>
            </w:r>
          </w:p>
        </w:tc>
        <w:tc>
          <w:tcPr>
            <w:tcW w:type="dxa" w:w="1872"/>
            <w:shd w:val="clear" w:fill="E8EDF5"/>
          </w:tcPr>
          <w:p>
            <w:r/>
            <w:r>
              <w:rPr>
                <w:b/>
                <w:color w:val="111827"/>
                <w:sz w:val="18"/>
              </w:rPr>
              <w:t>Technology</w:t>
            </w:r>
          </w:p>
        </w:tc>
        <w:tc>
          <w:tcPr>
            <w:tcW w:type="dxa" w:w="5328"/>
            <w:shd w:val="clear" w:fill="E8EDF5"/>
          </w:tcPr>
          <w:p>
            <w:r/>
            <w:r>
              <w:rPr>
                <w:b/>
                <w:color w:val="111827"/>
                <w:sz w:val="18"/>
              </w:rPr>
              <w:t>Contents</w:t>
            </w:r>
          </w:p>
        </w:tc>
      </w:tr>
      <w:tr>
        <w:tc>
          <w:tcPr>
            <w:tcW w:type="dxa" w:w="2304"/>
          </w:tcPr>
          <w:p>
            <w:r/>
            <w:r>
              <w:rPr>
                <w:b/>
                <w:sz w:val="18"/>
              </w:rPr>
              <w:t>data/documents/</w:t>
            </w:r>
          </w:p>
        </w:tc>
        <w:tc>
          <w:tcPr>
            <w:tcW w:type="dxa" w:w="1872"/>
          </w:tcPr>
          <w:p>
            <w:r/>
            <w:r>
              <w:rPr>
                <w:sz w:val="18"/>
              </w:rPr>
              <w:t>Filesystem</w:t>
            </w:r>
          </w:p>
        </w:tc>
        <w:tc>
          <w:tcPr>
            <w:tcW w:type="dxa" w:w="5328"/>
          </w:tcPr>
          <w:p>
            <w:r/>
            <w:r>
              <w:rPr>
                <w:sz w:val="18"/>
              </w:rPr>
              <w:t>Source filings</w:t>
            </w:r>
          </w:p>
        </w:tc>
      </w:tr>
      <w:tr>
        <w:tc>
          <w:tcPr>
            <w:tcW w:type="dxa" w:w="2304"/>
          </w:tcPr>
          <w:p>
            <w:r/>
            <w:r>
              <w:rPr>
                <w:b/>
                <w:sz w:val="18"/>
              </w:rPr>
              <w:t>data/workspace.json</w:t>
            </w:r>
          </w:p>
        </w:tc>
        <w:tc>
          <w:tcPr>
            <w:tcW w:type="dxa" w:w="1872"/>
          </w:tcPr>
          <w:p>
            <w:r/>
            <w:r>
              <w:rPr>
                <w:sz w:val="18"/>
              </w:rPr>
              <w:t>JSON</w:t>
            </w:r>
          </w:p>
        </w:tc>
        <w:tc>
          <w:tcPr>
            <w:tcW w:type="dxa" w:w="5328"/>
          </w:tcPr>
          <w:p>
            <w:r/>
            <w:r>
              <w:rPr>
                <w:sz w:val="18"/>
              </w:rPr>
              <w:t>Workspace, company, document scope</w:t>
            </w:r>
          </w:p>
        </w:tc>
      </w:tr>
      <w:tr>
        <w:tc>
          <w:tcPr>
            <w:tcW w:type="dxa" w:w="2304"/>
          </w:tcPr>
          <w:p>
            <w:r/>
            <w:r>
              <w:rPr>
                <w:b/>
                <w:sz w:val="18"/>
              </w:rPr>
              <w:t>data/demo_company.json</w:t>
            </w:r>
          </w:p>
        </w:tc>
        <w:tc>
          <w:tcPr>
            <w:tcW w:type="dxa" w:w="1872"/>
          </w:tcPr>
          <w:p>
            <w:r/>
            <w:r>
              <w:rPr>
                <w:sz w:val="18"/>
              </w:rPr>
              <w:t>JSON</w:t>
            </w:r>
          </w:p>
        </w:tc>
        <w:tc>
          <w:tcPr>
            <w:tcW w:type="dxa" w:w="5328"/>
          </w:tcPr>
          <w:p>
            <w:r/>
            <w:r>
              <w:rPr>
                <w:sz w:val="18"/>
              </w:rPr>
              <w:t>Verified company profile and metrics</w:t>
            </w:r>
          </w:p>
        </w:tc>
      </w:tr>
      <w:tr>
        <w:tc>
          <w:tcPr>
            <w:tcW w:type="dxa" w:w="2304"/>
          </w:tcPr>
          <w:p>
            <w:r/>
            <w:r>
              <w:rPr>
                <w:b/>
                <w:sz w:val="18"/>
              </w:rPr>
              <w:t>Chunk store</w:t>
            </w:r>
          </w:p>
        </w:tc>
        <w:tc>
          <w:tcPr>
            <w:tcW w:type="dxa" w:w="1872"/>
          </w:tcPr>
          <w:p>
            <w:r/>
            <w:r>
              <w:rPr>
                <w:sz w:val="18"/>
              </w:rPr>
              <w:t>SQLite</w:t>
            </w:r>
          </w:p>
        </w:tc>
        <w:tc>
          <w:tcPr>
            <w:tcW w:type="dxa" w:w="5328"/>
          </w:tcPr>
          <w:p>
            <w:r/>
            <w:r>
              <w:rPr>
                <w:sz w:val="18"/>
              </w:rPr>
              <w:t>Document chunk text and metadata</w:t>
            </w:r>
          </w:p>
        </w:tc>
      </w:tr>
      <w:tr>
        <w:tc>
          <w:tcPr>
            <w:tcW w:type="dxa" w:w="2304"/>
          </w:tcPr>
          <w:p>
            <w:r/>
            <w:r>
              <w:rPr>
                <w:b/>
                <w:sz w:val="18"/>
              </w:rPr>
              <w:t>data/monitoring.db</w:t>
            </w:r>
          </w:p>
        </w:tc>
        <w:tc>
          <w:tcPr>
            <w:tcW w:type="dxa" w:w="1872"/>
          </w:tcPr>
          <w:p>
            <w:r/>
            <w:r>
              <w:rPr>
                <w:sz w:val="18"/>
              </w:rPr>
              <w:t>SQLite</w:t>
            </w:r>
          </w:p>
        </w:tc>
        <w:tc>
          <w:tcPr>
            <w:tcW w:type="dxa" w:w="5328"/>
          </w:tcPr>
          <w:p>
            <w:r/>
            <w:r>
              <w:rPr>
                <w:sz w:val="18"/>
              </w:rPr>
              <w:t>Monitoring rules, saved analyses</w:t>
            </w:r>
          </w:p>
        </w:tc>
      </w:tr>
      <w:tr>
        <w:tc>
          <w:tcPr>
            <w:tcW w:type="dxa" w:w="2304"/>
          </w:tcPr>
          <w:p>
            <w:r/>
            <w:r>
              <w:rPr>
                <w:b/>
                <w:sz w:val="18"/>
              </w:rPr>
              <w:t>checkpoints/</w:t>
            </w:r>
          </w:p>
        </w:tc>
        <w:tc>
          <w:tcPr>
            <w:tcW w:type="dxa" w:w="1872"/>
          </w:tcPr>
          <w:p>
            <w:r/>
            <w:r>
              <w:rPr>
                <w:sz w:val="18"/>
              </w:rPr>
              <w:t>PyTorch</w:t>
            </w:r>
          </w:p>
        </w:tc>
        <w:tc>
          <w:tcPr>
            <w:tcW w:type="dxa" w:w="5328"/>
          </w:tcPr>
          <w:p>
            <w:r/>
            <w:r>
              <w:rPr>
                <w:sz w:val="18"/>
              </w:rPr>
              <w:t>Model checkpoints</w:t>
            </w:r>
          </w:p>
        </w:tc>
      </w:tr>
      <w:tr>
        <w:tc>
          <w:tcPr>
            <w:tcW w:type="dxa" w:w="2304"/>
          </w:tcPr>
          <w:p>
            <w:r/>
            <w:r>
              <w:rPr>
                <w:b/>
                <w:sz w:val="18"/>
              </w:rPr>
              <w:t>data/eval_heldout/</w:t>
            </w:r>
          </w:p>
        </w:tc>
        <w:tc>
          <w:tcPr>
            <w:tcW w:type="dxa" w:w="1872"/>
          </w:tcPr>
          <w:p>
            <w:r/>
            <w:r>
              <w:rPr>
                <w:sz w:val="18"/>
              </w:rPr>
              <w:t>JSONL</w:t>
            </w:r>
          </w:p>
        </w:tc>
        <w:tc>
          <w:tcPr>
            <w:tcW w:type="dxa" w:w="5328"/>
          </w:tcPr>
          <w:p>
            <w:r/>
            <w:r>
              <w:rPr>
                <w:sz w:val="18"/>
              </w:rPr>
              <w:t>Frozen evaluation set and manifest</w:t>
            </w:r>
          </w:p>
        </w:tc>
      </w:tr>
    </w:tbl>
    <w:p/>
    <w:p>
      <w:pPr>
        <w:spacing w:after="160"/>
      </w:pPr>
      <w:r>
        <w:rPr>
          <w:i w:val="0"/>
          <w:sz w:val="20"/>
        </w:rPr>
        <w:t>Runtime databases are excluded from version control: they hold a user's records, not source. The frozen evaluation set is verified on every scored run against a content hash computed over the parsed items in canonical order, so the check is identical on every platform and still changes if any item changes.</w:t>
      </w:r>
    </w:p>
    <w:p>
      <w:pPr>
        <w:pStyle w:val="Heading1"/>
      </w:pPr>
      <w:r>
        <w:t>7. Grounding &amp; Hallucination Prevention</w:t>
      </w:r>
    </w:p>
    <w:p>
      <w:pPr>
        <w:spacing w:after="160"/>
      </w:pPr>
      <w:r>
        <w:rPr>
          <w:i w:val="0"/>
          <w:sz w:val="20"/>
        </w:rPr>
        <w:t>Four independent mechanisms, each of which can refuse on its own:</w:t>
      </w:r>
    </w:p>
    <w:tbl>
      <w:tblPr>
        <w:tblStyle w:val="TableGrid"/>
        <w:tblW w:type="auto" w:w="0"/>
        <w:jc w:val="center"/>
        <w:tblLook w:firstColumn="1" w:firstRow="1" w:lastColumn="0" w:lastRow="0" w:noHBand="0" w:noVBand="1" w:val="04A0"/>
      </w:tblPr>
      <w:tblGrid>
        <w:gridCol w:w="3264"/>
        <w:gridCol w:w="3264"/>
        <w:gridCol w:w="3264"/>
      </w:tblGrid>
      <w:tr>
        <w:tc>
          <w:tcPr>
            <w:tcW w:type="dxa" w:w="2304"/>
            <w:shd w:val="clear" w:fill="E8EDF5"/>
          </w:tcPr>
          <w:p>
            <w:r/>
            <w:r>
              <w:rPr>
                <w:b/>
                <w:color w:val="111827"/>
                <w:sz w:val="18"/>
              </w:rPr>
              <w:t>Mechanism</w:t>
            </w:r>
          </w:p>
        </w:tc>
        <w:tc>
          <w:tcPr>
            <w:tcW w:type="dxa" w:w="2592"/>
            <w:shd w:val="clear" w:fill="E8EDF5"/>
          </w:tcPr>
          <w:p>
            <w:r/>
            <w:r>
              <w:rPr>
                <w:b/>
                <w:color w:val="111827"/>
                <w:sz w:val="18"/>
              </w:rPr>
              <w:t>Enforced by</w:t>
            </w:r>
          </w:p>
        </w:tc>
        <w:tc>
          <w:tcPr>
            <w:tcW w:type="dxa" w:w="4608"/>
            <w:shd w:val="clear" w:fill="E8EDF5"/>
          </w:tcPr>
          <w:p>
            <w:r/>
            <w:r>
              <w:rPr>
                <w:b/>
                <w:color w:val="111827"/>
                <w:sz w:val="18"/>
              </w:rPr>
              <w:t>Effect</w:t>
            </w:r>
          </w:p>
        </w:tc>
      </w:tr>
      <w:tr>
        <w:tc>
          <w:tcPr>
            <w:tcW w:type="dxa" w:w="2304"/>
          </w:tcPr>
          <w:p>
            <w:r/>
            <w:r>
              <w:rPr>
                <w:b/>
                <w:sz w:val="18"/>
              </w:rPr>
              <w:t>Source-span validation</w:t>
            </w:r>
          </w:p>
        </w:tc>
        <w:tc>
          <w:tcPr>
            <w:tcW w:type="dxa" w:w="2592"/>
          </w:tcPr>
          <w:p>
            <w:r/>
            <w:r>
              <w:rPr>
                <w:sz w:val="18"/>
              </w:rPr>
              <w:t>pipeline/schema.py</w:t>
            </w:r>
          </w:p>
        </w:tc>
        <w:tc>
          <w:tcPr>
            <w:tcW w:type="dxa" w:w="4608"/>
          </w:tcPr>
          <w:p>
            <w:r/>
            <w:r>
              <w:rPr>
                <w:sz w:val="18"/>
              </w:rPr>
              <w:t>A value with no valid span never reaches the user</w:t>
            </w:r>
          </w:p>
        </w:tc>
      </w:tr>
      <w:tr>
        <w:tc>
          <w:tcPr>
            <w:tcW w:type="dxa" w:w="2304"/>
          </w:tcPr>
          <w:p>
            <w:r/>
            <w:r>
              <w:rPr>
                <w:b/>
                <w:sz w:val="18"/>
              </w:rPr>
              <w:t>Python-only arithmetic</w:t>
            </w:r>
          </w:p>
        </w:tc>
        <w:tc>
          <w:tcPr>
            <w:tcW w:type="dxa" w:w="2592"/>
          </w:tcPr>
          <w:p>
            <w:r/>
            <w:r>
              <w:rPr>
                <w:sz w:val="18"/>
              </w:rPr>
              <w:t>pipeline/tool_pipeline.py</w:t>
            </w:r>
          </w:p>
        </w:tc>
        <w:tc>
          <w:tcPr>
            <w:tcW w:type="dxa" w:w="4608"/>
          </w:tcPr>
          <w:p>
            <w:r/>
            <w:r>
              <w:rPr>
                <w:sz w:val="18"/>
              </w:rPr>
              <w:t>A wrong total from a model cannot become a wrong answer</w:t>
            </w:r>
          </w:p>
        </w:tc>
      </w:tr>
      <w:tr>
        <w:tc>
          <w:tcPr>
            <w:tcW w:type="dxa" w:w="2304"/>
          </w:tcPr>
          <w:p>
            <w:r/>
            <w:r>
              <w:rPr>
                <w:b/>
                <w:sz w:val="18"/>
              </w:rPr>
              <w:t>Workspace scope</w:t>
            </w:r>
          </w:p>
        </w:tc>
        <w:tc>
          <w:tcPr>
            <w:tcW w:type="dxa" w:w="2592"/>
          </w:tcPr>
          <w:p>
            <w:r/>
            <w:r>
              <w:rPr>
                <w:sz w:val="18"/>
              </w:rPr>
              <w:t>services/workspace.py</w:t>
            </w:r>
          </w:p>
        </w:tc>
        <w:tc>
          <w:tcPr>
            <w:tcW w:type="dxa" w:w="4608"/>
          </w:tcPr>
          <w:p>
            <w:r/>
            <w:r>
              <w:rPr>
                <w:sz w:val="18"/>
              </w:rPr>
              <w:t>Another company's filing cannot answer for this one</w:t>
            </w:r>
          </w:p>
        </w:tc>
      </w:tr>
      <w:tr>
        <w:tc>
          <w:tcPr>
            <w:tcW w:type="dxa" w:w="2304"/>
          </w:tcPr>
          <w:p>
            <w:r/>
            <w:r>
              <w:rPr>
                <w:b/>
                <w:sz w:val="18"/>
              </w:rPr>
              <w:t>Refusal rules</w:t>
            </w:r>
          </w:p>
        </w:tc>
        <w:tc>
          <w:tcPr>
            <w:tcW w:type="dxa" w:w="2592"/>
          </w:tcPr>
          <w:p>
            <w:r/>
            <w:r>
              <w:rPr>
                <w:sz w:val="18"/>
              </w:rPr>
              <w:t>services/abstention.py</w:t>
            </w:r>
          </w:p>
        </w:tc>
        <w:tc>
          <w:tcPr>
            <w:tcW w:type="dxa" w:w="4608"/>
          </w:tcPr>
          <w:p>
            <w:r/>
            <w:r>
              <w:rPr>
                <w:sz w:val="18"/>
              </w:rPr>
              <w:t>Forward-looking and unsupported questions are declined explicitly</w:t>
            </w:r>
          </w:p>
        </w:tc>
      </w:tr>
    </w:tbl>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An abstention is a correct answer. It is never replaced by a guess from another path, because doing so would discard the guarantee that justifies the architecture.</w:t>
            </w:r>
          </w:p>
        </w:tc>
      </w:tr>
    </w:tbl>
    <w:p/>
    <w:p>
      <w:pPr>
        <w:pStyle w:val="Heading1"/>
      </w:pPr>
      <w:r>
        <w:t>8. Evaluation &amp; Measured Results</w:t>
      </w:r>
    </w:p>
    <w:p>
      <w:pPr>
        <w:spacing w:after="160"/>
      </w:pPr>
      <w:r>
        <w:rPr>
          <w:i w:val="0"/>
          <w:sz w:val="20"/>
        </w:rPr>
        <w:t>Aivora is measured against a frozen held-out set of 313 items across five capability gates, built with 8-gram overlap removal against the training corpus and scored once per configuration by a single shared scorer. Prompts, decoding and scoring are identical across systems. (measured; see reports/phase4/PHASE4_V2_REPORT.md)</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E8EDF5"/>
          </w:tcPr>
          <w:p>
            <w:r/>
            <w:r>
              <w:rPr>
                <w:b/>
                <w:color w:val="111827"/>
                <w:sz w:val="18"/>
              </w:rPr>
              <w:t>Gate</w:t>
            </w:r>
          </w:p>
        </w:tc>
        <w:tc>
          <w:tcPr>
            <w:tcW w:type="dxa" w:w="3888"/>
            <w:shd w:val="clear" w:fill="E8EDF5"/>
          </w:tcPr>
          <w:p>
            <w:r/>
            <w:r>
              <w:rPr>
                <w:b/>
                <w:color w:val="111827"/>
                <w:sz w:val="18"/>
              </w:rPr>
              <w:t>Tool pipeline + Qwen2.5-1.5B</w:t>
            </w:r>
          </w:p>
        </w:tc>
        <w:tc>
          <w:tcPr>
            <w:tcW w:type="dxa" w:w="2880"/>
            <w:shd w:val="clear" w:fill="E8EDF5"/>
          </w:tcPr>
          <w:p>
            <w:r/>
            <w:r>
              <w:rPr>
                <w:b/>
                <w:color w:val="111827"/>
                <w:sz w:val="18"/>
              </w:rPr>
              <w:t>95% CI</w:t>
            </w:r>
          </w:p>
        </w:tc>
      </w:tr>
      <w:tr>
        <w:tc>
          <w:tcPr>
            <w:tcW w:type="dxa" w:w="2736"/>
          </w:tcPr>
          <w:p>
            <w:r/>
            <w:r>
              <w:rPr>
                <w:b/>
                <w:sz w:val="18"/>
              </w:rPr>
              <w:t>Copy</w:t>
            </w:r>
          </w:p>
        </w:tc>
        <w:tc>
          <w:tcPr>
            <w:tcW w:type="dxa" w:w="3888"/>
          </w:tcPr>
          <w:p>
            <w:r/>
            <w:r>
              <w:rPr>
                <w:sz w:val="18"/>
              </w:rPr>
              <w:t>68/69 - 98.6%</w:t>
            </w:r>
          </w:p>
        </w:tc>
        <w:tc>
          <w:tcPr>
            <w:tcW w:type="dxa" w:w="2880"/>
          </w:tcPr>
          <w:p>
            <w:r/>
            <w:r>
              <w:rPr>
                <w:sz w:val="18"/>
              </w:rPr>
              <w:t>[92.2, 99.7]</w:t>
            </w:r>
          </w:p>
        </w:tc>
      </w:tr>
      <w:tr>
        <w:tc>
          <w:tcPr>
            <w:tcW w:type="dxa" w:w="2736"/>
          </w:tcPr>
          <w:p>
            <w:r/>
            <w:r>
              <w:rPr>
                <w:b/>
                <w:sz w:val="18"/>
              </w:rPr>
              <w:t>Extraction</w:t>
            </w:r>
          </w:p>
        </w:tc>
        <w:tc>
          <w:tcPr>
            <w:tcW w:type="dxa" w:w="3888"/>
          </w:tcPr>
          <w:p>
            <w:r/>
            <w:r>
              <w:rPr>
                <w:sz w:val="18"/>
              </w:rPr>
              <w:t>67/69 - 97.1%</w:t>
            </w:r>
          </w:p>
        </w:tc>
        <w:tc>
          <w:tcPr>
            <w:tcW w:type="dxa" w:w="2880"/>
          </w:tcPr>
          <w:p>
            <w:r/>
            <w:r>
              <w:rPr>
                <w:sz w:val="18"/>
              </w:rPr>
              <w:t>[89.9, 99.2]</w:t>
            </w:r>
          </w:p>
        </w:tc>
      </w:tr>
      <w:tr>
        <w:tc>
          <w:tcPr>
            <w:tcW w:type="dxa" w:w="2736"/>
          </w:tcPr>
          <w:p>
            <w:r/>
            <w:r>
              <w:rPr>
                <w:b/>
                <w:sz w:val="18"/>
              </w:rPr>
              <w:t>Wording robustness</w:t>
            </w:r>
          </w:p>
        </w:tc>
        <w:tc>
          <w:tcPr>
            <w:tcW w:type="dxa" w:w="3888"/>
          </w:tcPr>
          <w:p>
            <w:r/>
            <w:r>
              <w:rPr>
                <w:sz w:val="18"/>
              </w:rPr>
              <w:t>72/75 - 96.0%</w:t>
            </w:r>
          </w:p>
        </w:tc>
        <w:tc>
          <w:tcPr>
            <w:tcW w:type="dxa" w:w="2880"/>
          </w:tcPr>
          <w:p>
            <w:r/>
            <w:r>
              <w:rPr>
                <w:sz w:val="18"/>
              </w:rPr>
              <w:t>[88.9, 98.6]</w:t>
            </w:r>
          </w:p>
        </w:tc>
      </w:tr>
      <w:tr>
        <w:tc>
          <w:tcPr>
            <w:tcW w:type="dxa" w:w="2736"/>
          </w:tcPr>
          <w:p>
            <w:r/>
            <w:r>
              <w:rPr>
                <w:b/>
                <w:sz w:val="18"/>
              </w:rPr>
              <w:t>Calculation</w:t>
            </w:r>
          </w:p>
        </w:tc>
        <w:tc>
          <w:tcPr>
            <w:tcW w:type="dxa" w:w="3888"/>
          </w:tcPr>
          <w:p>
            <w:r/>
            <w:r>
              <w:rPr>
                <w:sz w:val="18"/>
              </w:rPr>
              <w:t>48/48 - 100%</w:t>
            </w:r>
          </w:p>
        </w:tc>
        <w:tc>
          <w:tcPr>
            <w:tcW w:type="dxa" w:w="2880"/>
          </w:tcPr>
          <w:p>
            <w:r/>
            <w:r>
              <w:rPr>
                <w:sz w:val="18"/>
              </w:rPr>
              <w:t>[92.6, 100]</w:t>
            </w:r>
          </w:p>
        </w:tc>
      </w:tr>
      <w:tr>
        <w:tc>
          <w:tcPr>
            <w:tcW w:type="dxa" w:w="2736"/>
          </w:tcPr>
          <w:p>
            <w:r/>
            <w:r>
              <w:rPr>
                <w:b/>
                <w:sz w:val="18"/>
              </w:rPr>
              <w:t>Abstention</w:t>
            </w:r>
          </w:p>
        </w:tc>
        <w:tc>
          <w:tcPr>
            <w:tcW w:type="dxa" w:w="3888"/>
          </w:tcPr>
          <w:p>
            <w:r/>
            <w:r>
              <w:rPr>
                <w:sz w:val="18"/>
              </w:rPr>
              <w:t>35/36 - 97.2%</w:t>
            </w:r>
          </w:p>
        </w:tc>
        <w:tc>
          <w:tcPr>
            <w:tcW w:type="dxa" w:w="2880"/>
          </w:tcPr>
          <w:p>
            <w:r/>
            <w:r>
              <w:rPr>
                <w:sz w:val="18"/>
              </w:rPr>
              <w:t>[85.8, 99.5]</w:t>
            </w:r>
          </w:p>
        </w:tc>
      </w:tr>
      <w:tr>
        <w:tc>
          <w:tcPr>
            <w:tcW w:type="dxa" w:w="2736"/>
          </w:tcPr>
          <w:p>
            <w:r/>
            <w:r>
              <w:rPr>
                <w:b/>
                <w:sz w:val="18"/>
              </w:rPr>
              <w:t>Overall</w:t>
            </w:r>
          </w:p>
        </w:tc>
        <w:tc>
          <w:tcPr>
            <w:tcW w:type="dxa" w:w="3888"/>
          </w:tcPr>
          <w:p>
            <w:r/>
            <w:r>
              <w:rPr>
                <w:sz w:val="18"/>
              </w:rPr>
              <w:t>290/297 - 97.6%</w:t>
            </w:r>
          </w:p>
        </w:tc>
        <w:tc>
          <w:tcPr>
            <w:tcW w:type="dxa" w:w="2880"/>
          </w:tcPr>
          <w:p>
            <w:r/>
            <w:r>
              <w:rPr>
                <w:sz w:val="18"/>
              </w:rPr>
              <w:t>[95.2, 98.8]</w:t>
            </w:r>
          </w:p>
        </w:tc>
      </w:tr>
      <w:tr>
        <w:tc>
          <w:tcPr>
            <w:tcW w:type="dxa" w:w="2736"/>
          </w:tcPr>
          <w:p>
            <w:r/>
            <w:r>
              <w:rPr>
                <w:b/>
                <w:sz w:val="18"/>
              </w:rPr>
              <w:t>Invented values</w:t>
            </w:r>
          </w:p>
        </w:tc>
        <w:tc>
          <w:tcPr>
            <w:tcW w:type="dxa" w:w="3888"/>
          </w:tcPr>
          <w:p>
            <w:r/>
            <w:r>
              <w:rPr>
                <w:sz w:val="18"/>
              </w:rPr>
              <w:t>0 / 261 answerable items</w:t>
            </w:r>
          </w:p>
        </w:tc>
        <w:tc>
          <w:tcPr>
            <w:tcW w:type="dxa" w:w="2880"/>
          </w:tcPr>
          <w:p>
            <w:r/>
            <w:r>
              <w:rPr>
                <w:sz w:val="18"/>
              </w:rPr>
              <w:t>-</w:t>
            </w:r>
          </w:p>
        </w:tc>
      </w:tr>
      <w:tr>
        <w:tc>
          <w:tcPr>
            <w:tcW w:type="dxa" w:w="2736"/>
          </w:tcPr>
          <w:p>
            <w:r/>
            <w:r>
              <w:rPr>
                <w:b/>
                <w:sz w:val="18"/>
              </w:rPr>
              <w:t>Source-span validation</w:t>
            </w:r>
          </w:p>
        </w:tc>
        <w:tc>
          <w:tcPr>
            <w:tcW w:type="dxa" w:w="3888"/>
          </w:tcPr>
          <w:p>
            <w:r/>
            <w:r>
              <w:rPr>
                <w:sz w:val="18"/>
              </w:rPr>
              <w:t>273 / 273 stated values</w:t>
            </w:r>
          </w:p>
        </w:tc>
        <w:tc>
          <w:tcPr>
            <w:tcW w:type="dxa" w:w="2880"/>
          </w:tcPr>
          <w:p>
            <w:r/>
            <w:r>
              <w:rPr>
                <w:sz w:val="18"/>
              </w:rPr>
              <w:t>-</w:t>
            </w:r>
          </w:p>
        </w:tc>
      </w:tr>
    </w:tbl>
    <w:p/>
    <w:p>
      <w:pPr>
        <w:pStyle w:val="Heading2"/>
      </w:pPr>
      <w:r>
        <w:t>8.1 What the Calculation Figure Means</w:t>
      </w:r>
    </w:p>
    <w:p>
      <w:pPr>
        <w:spacing w:after="160"/>
      </w:pPr>
      <w:r>
        <w:rPr>
          <w:i w:val="0"/>
          <w:sz w:val="20"/>
        </w:rPr>
        <w:t>Calculation reads 100%, and that number is conditional in a way the figure alone does not convey. Operand resolution matches a formula's operand to the caption a statement actually uses, from a table of 147 captions. The same capability, measured three ways:</w:t>
      </w:r>
    </w:p>
    <w:tbl>
      <w:tblPr>
        <w:tblStyle w:val="TableGrid"/>
        <w:tblW w:type="auto" w:w="0"/>
        <w:jc w:val="center"/>
        <w:tblLook w:firstColumn="1" w:firstRow="1" w:lastColumn="0" w:lastRow="0" w:noHBand="0" w:noVBand="1" w:val="04A0"/>
      </w:tblPr>
      <w:tblGrid>
        <w:gridCol w:w="4896"/>
        <w:gridCol w:w="4896"/>
      </w:tblGrid>
      <w:tr>
        <w:tc>
          <w:tcPr>
            <w:tcW w:type="dxa" w:w="6048"/>
            <w:shd w:val="clear" w:fill="E8EDF5"/>
          </w:tcPr>
          <w:p>
            <w:r/>
            <w:r>
              <w:rPr>
                <w:b/>
                <w:color w:val="111827"/>
                <w:sz w:val="18"/>
              </w:rPr>
              <w:t>Measurement</w:t>
            </w:r>
          </w:p>
        </w:tc>
        <w:tc>
          <w:tcPr>
            <w:tcW w:type="dxa" w:w="3456"/>
            <w:shd w:val="clear" w:fill="E8EDF5"/>
          </w:tcPr>
          <w:p>
            <w:r/>
            <w:r>
              <w:rPr>
                <w:b/>
                <w:color w:val="111827"/>
                <w:sz w:val="18"/>
              </w:rPr>
              <w:t>Score</w:t>
            </w:r>
          </w:p>
        </w:tc>
      </w:tr>
      <w:tr>
        <w:tc>
          <w:tcPr>
            <w:tcW w:type="dxa" w:w="6048"/>
          </w:tcPr>
          <w:p>
            <w:r/>
            <w:r>
              <w:rPr>
                <w:sz w:val="18"/>
              </w:rPr>
              <w:t>Frozen set</w:t>
            </w:r>
          </w:p>
        </w:tc>
        <w:tc>
          <w:tcPr>
            <w:tcW w:type="dxa" w:w="3456"/>
          </w:tcPr>
          <w:p>
            <w:r/>
            <w:r>
              <w:rPr>
                <w:sz w:val="18"/>
              </w:rPr>
              <w:t>48/48 - 100%</w:t>
            </w:r>
          </w:p>
        </w:tc>
      </w:tr>
      <w:tr>
        <w:tc>
          <w:tcPr>
            <w:tcW w:type="dxa" w:w="6048"/>
          </w:tcPr>
          <w:p>
            <w:r/>
            <w:r>
              <w:rPr>
                <w:sz w:val="18"/>
              </w:rPr>
              <w:t>Fresh contexts, captions the vocabulary has</w:t>
            </w:r>
          </w:p>
        </w:tc>
        <w:tc>
          <w:tcPr>
            <w:tcW w:type="dxa" w:w="3456"/>
          </w:tcPr>
          <w:p>
            <w:r/>
            <w:r>
              <w:rPr>
                <w:sz w:val="18"/>
              </w:rPr>
              <w:t>44/44 - 100%</w:t>
            </w:r>
          </w:p>
        </w:tc>
      </w:tr>
      <w:tr>
        <w:tc>
          <w:tcPr>
            <w:tcW w:type="dxa" w:w="6048"/>
          </w:tcPr>
          <w:p>
            <w:r/>
            <w:r>
              <w:rPr>
                <w:sz w:val="18"/>
              </w:rPr>
              <w:t>Fresh contexts, captions the vocabulary lacks</w:t>
            </w:r>
          </w:p>
        </w:tc>
        <w:tc>
          <w:tcPr>
            <w:tcW w:type="dxa" w:w="3456"/>
          </w:tcPr>
          <w:p>
            <w:r/>
            <w:r>
              <w:rPr>
                <w:sz w:val="18"/>
              </w:rPr>
              <w:t>5/44 - 11.4%</w:t>
            </w:r>
          </w:p>
        </w:tc>
      </w:tr>
    </w:tbl>
    <w:p/>
    <w:p>
      <w:pPr>
        <w:spacing w:after="160"/>
      </w:pPr>
      <w:r>
        <w:rPr>
          <w:i w:val="0"/>
          <w:sz w:val="20"/>
        </w:rPr>
        <w:t>When the table knows the wording the pipeline is exact; when it does not, the model bridges the gap 5 times in 44. Coverage, not arithmetic, is the limit. The failure is the safe one - of 39 misses on unknown captions, 39 were refusals and none was a wrong value, with zero invented values and zero span violations. (measured)</w:t>
      </w:r>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A real filing will use wording outside the table, so it will meet refusals rather than errors. Calculation should be read as coverage multiplied by accuracy-within-coverage, and coverage against real filings has not yet been measured.</w:t>
            </w:r>
          </w:p>
        </w:tc>
      </w:tr>
    </w:tbl>
    <w:p/>
    <w:p>
      <w:pPr>
        <w:pStyle w:val="Heading2"/>
      </w:pPr>
      <w:r>
        <w:t>8.2 The Pipeline's Contribution, Isolated</w:t>
      </w:r>
    </w:p>
    <w:p>
      <w:pPr>
        <w:spacing w:after="160"/>
      </w:pPr>
      <w:r>
        <w:rPr>
          <w:i w:val="0"/>
          <w:sz w:val="20"/>
        </w:rPr>
        <w:t>The same model, same scorer, same prompts and decoding, answering directly instead of through the pipeline, on the same 297 items:</w:t>
      </w:r>
    </w:p>
    <w:tbl>
      <w:tblPr>
        <w:tblStyle w:val="TableGrid"/>
        <w:tblW w:type="auto" w:w="0"/>
        <w:jc w:val="center"/>
        <w:tblLook w:firstColumn="1" w:firstRow="1" w:lastColumn="0" w:lastRow="0" w:noHBand="0" w:noVBand="1" w:val="04A0"/>
      </w:tblPr>
      <w:tblGrid>
        <w:gridCol w:w="3264"/>
        <w:gridCol w:w="3264"/>
        <w:gridCol w:w="3264"/>
      </w:tblGrid>
      <w:tr>
        <w:tc>
          <w:tcPr>
            <w:tcW w:type="dxa" w:w="2736"/>
            <w:shd w:val="clear" w:fill="E8EDF5"/>
          </w:tcPr>
          <w:p>
            <w:r/>
            <w:r>
              <w:rPr>
                <w:b/>
                <w:color w:val="111827"/>
                <w:sz w:val="18"/>
              </w:rPr>
              <w:t>Gate</w:t>
            </w:r>
          </w:p>
        </w:tc>
        <w:tc>
          <w:tcPr>
            <w:tcW w:type="dxa" w:w="3168"/>
            <w:shd w:val="clear" w:fill="E8EDF5"/>
          </w:tcPr>
          <w:p>
            <w:r/>
            <w:r>
              <w:rPr>
                <w:b/>
                <w:color w:val="111827"/>
                <w:sz w:val="18"/>
              </w:rPr>
              <w:t>Model alone</w:t>
            </w:r>
          </w:p>
        </w:tc>
        <w:tc>
          <w:tcPr>
            <w:tcW w:type="dxa" w:w="3600"/>
            <w:shd w:val="clear" w:fill="E8EDF5"/>
          </w:tcPr>
          <w:p>
            <w:r/>
            <w:r>
              <w:rPr>
                <w:b/>
                <w:color w:val="111827"/>
                <w:sz w:val="18"/>
              </w:rPr>
              <w:t>With the pipeline</w:t>
            </w:r>
          </w:p>
        </w:tc>
      </w:tr>
      <w:tr>
        <w:tc>
          <w:tcPr>
            <w:tcW w:type="dxa" w:w="2736"/>
          </w:tcPr>
          <w:p>
            <w:r/>
            <w:r>
              <w:rPr>
                <w:b/>
                <w:sz w:val="18"/>
              </w:rPr>
              <w:t>Copy</w:t>
            </w:r>
          </w:p>
        </w:tc>
        <w:tc>
          <w:tcPr>
            <w:tcW w:type="dxa" w:w="3168"/>
          </w:tcPr>
          <w:p>
            <w:r/>
            <w:r>
              <w:rPr>
                <w:sz w:val="18"/>
              </w:rPr>
              <w:t>97.1%</w:t>
            </w:r>
          </w:p>
        </w:tc>
        <w:tc>
          <w:tcPr>
            <w:tcW w:type="dxa" w:w="3600"/>
          </w:tcPr>
          <w:p>
            <w:r/>
            <w:r>
              <w:rPr>
                <w:sz w:val="18"/>
              </w:rPr>
              <w:t>98.6%</w:t>
            </w:r>
          </w:p>
        </w:tc>
      </w:tr>
      <w:tr>
        <w:tc>
          <w:tcPr>
            <w:tcW w:type="dxa" w:w="2736"/>
          </w:tcPr>
          <w:p>
            <w:r/>
            <w:r>
              <w:rPr>
                <w:b/>
                <w:sz w:val="18"/>
              </w:rPr>
              <w:t>Extraction</w:t>
            </w:r>
          </w:p>
        </w:tc>
        <w:tc>
          <w:tcPr>
            <w:tcW w:type="dxa" w:w="3168"/>
          </w:tcPr>
          <w:p>
            <w:r/>
            <w:r>
              <w:rPr>
                <w:sz w:val="18"/>
              </w:rPr>
              <w:t>98.5%</w:t>
            </w:r>
          </w:p>
        </w:tc>
        <w:tc>
          <w:tcPr>
            <w:tcW w:type="dxa" w:w="3600"/>
          </w:tcPr>
          <w:p>
            <w:r/>
            <w:r>
              <w:rPr>
                <w:sz w:val="18"/>
              </w:rPr>
              <w:t>97.1%</w:t>
            </w:r>
          </w:p>
        </w:tc>
      </w:tr>
      <w:tr>
        <w:tc>
          <w:tcPr>
            <w:tcW w:type="dxa" w:w="2736"/>
          </w:tcPr>
          <w:p>
            <w:r/>
            <w:r>
              <w:rPr>
                <w:b/>
                <w:sz w:val="18"/>
              </w:rPr>
              <w:t>Wording robustness</w:t>
            </w:r>
          </w:p>
        </w:tc>
        <w:tc>
          <w:tcPr>
            <w:tcW w:type="dxa" w:w="3168"/>
          </w:tcPr>
          <w:p>
            <w:r/>
            <w:r>
              <w:rPr>
                <w:sz w:val="18"/>
              </w:rPr>
              <w:t>88.0%</w:t>
            </w:r>
          </w:p>
        </w:tc>
        <w:tc>
          <w:tcPr>
            <w:tcW w:type="dxa" w:w="3600"/>
          </w:tcPr>
          <w:p>
            <w:r/>
            <w:r>
              <w:rPr>
                <w:sz w:val="18"/>
              </w:rPr>
              <w:t>96.0%</w:t>
            </w:r>
          </w:p>
        </w:tc>
      </w:tr>
      <w:tr>
        <w:tc>
          <w:tcPr>
            <w:tcW w:type="dxa" w:w="2736"/>
          </w:tcPr>
          <w:p>
            <w:r/>
            <w:r>
              <w:rPr>
                <w:b/>
                <w:sz w:val="18"/>
              </w:rPr>
              <w:t>Calculation</w:t>
            </w:r>
          </w:p>
        </w:tc>
        <w:tc>
          <w:tcPr>
            <w:tcW w:type="dxa" w:w="3168"/>
          </w:tcPr>
          <w:p>
            <w:r/>
            <w:r>
              <w:rPr>
                <w:sz w:val="18"/>
              </w:rPr>
              <w:t>52.1%</w:t>
            </w:r>
          </w:p>
        </w:tc>
        <w:tc>
          <w:tcPr>
            <w:tcW w:type="dxa" w:w="3600"/>
          </w:tcPr>
          <w:p>
            <w:r/>
            <w:r>
              <w:rPr>
                <w:sz w:val="18"/>
              </w:rPr>
              <w:t>100%</w:t>
            </w:r>
          </w:p>
        </w:tc>
      </w:tr>
      <w:tr>
        <w:tc>
          <w:tcPr>
            <w:tcW w:type="dxa" w:w="2736"/>
          </w:tcPr>
          <w:p>
            <w:r/>
            <w:r>
              <w:rPr>
                <w:b/>
                <w:sz w:val="18"/>
              </w:rPr>
              <w:t>Abstention</w:t>
            </w:r>
          </w:p>
        </w:tc>
        <w:tc>
          <w:tcPr>
            <w:tcW w:type="dxa" w:w="3168"/>
          </w:tcPr>
          <w:p>
            <w:r/>
            <w:r>
              <w:rPr>
                <w:sz w:val="18"/>
              </w:rPr>
              <w:t>63.9%</w:t>
            </w:r>
          </w:p>
        </w:tc>
        <w:tc>
          <w:tcPr>
            <w:tcW w:type="dxa" w:w="3600"/>
          </w:tcPr>
          <w:p>
            <w:r/>
            <w:r>
              <w:rPr>
                <w:sz w:val="18"/>
              </w:rPr>
              <w:t>97.2%</w:t>
            </w:r>
          </w:p>
        </w:tc>
      </w:tr>
      <w:tr>
        <w:tc>
          <w:tcPr>
            <w:tcW w:type="dxa" w:w="2736"/>
          </w:tcPr>
          <w:p>
            <w:r/>
            <w:r>
              <w:rPr>
                <w:b/>
                <w:sz w:val="18"/>
              </w:rPr>
              <w:t>Overall</w:t>
            </w:r>
          </w:p>
        </w:tc>
        <w:tc>
          <w:tcPr>
            <w:tcW w:type="dxa" w:w="3168"/>
          </w:tcPr>
          <w:p>
            <w:r/>
            <w:r>
              <w:rPr>
                <w:sz w:val="18"/>
              </w:rPr>
              <w:t>249/297 - 83.8%</w:t>
            </w:r>
          </w:p>
        </w:tc>
        <w:tc>
          <w:tcPr>
            <w:tcW w:type="dxa" w:w="3600"/>
          </w:tcPr>
          <w:p>
            <w:r/>
            <w:r>
              <w:rPr>
                <w:sz w:val="18"/>
              </w:rPr>
              <w:t>290/297 - 97.6%</w:t>
            </w:r>
          </w:p>
        </w:tc>
      </w:tr>
      <w:tr>
        <w:tc>
          <w:tcPr>
            <w:tcW w:type="dxa" w:w="2736"/>
          </w:tcPr>
          <w:p>
            <w:r/>
            <w:r>
              <w:rPr>
                <w:b/>
                <w:sz w:val="18"/>
              </w:rPr>
              <w:t>Invented values</w:t>
            </w:r>
          </w:p>
        </w:tc>
        <w:tc>
          <w:tcPr>
            <w:tcW w:type="dxa" w:w="3168"/>
          </w:tcPr>
          <w:p>
            <w:r/>
            <w:r>
              <w:rPr>
                <w:sz w:val="18"/>
              </w:rPr>
              <w:t>0.77%</w:t>
            </w:r>
          </w:p>
        </w:tc>
        <w:tc>
          <w:tcPr>
            <w:tcW w:type="dxa" w:w="3600"/>
          </w:tcPr>
          <w:p>
            <w:r/>
            <w:r>
              <w:rPr>
                <w:sz w:val="18"/>
              </w:rPr>
              <w:t>0.00%</w:t>
            </w:r>
          </w:p>
        </w:tc>
      </w:tr>
    </w:tbl>
    <w:p/>
    <w:p>
      <w:pPr>
        <w:spacing w:after="160"/>
      </w:pPr>
      <w:r>
        <w:rPr>
          <w:i w:val="0"/>
          <w:sz w:val="20"/>
        </w:rPr>
        <w:t>Unaided, the model gets roughly half of all arithmetic wrong and answers 13 of the 36 questions it should refuse. Those two gates are what the pipeline buys. Extraction is within a single item of the unaided model. (measured)</w:t>
      </w:r>
    </w:p>
    <w:p>
      <w:pPr>
        <w:pStyle w:val="Heading2"/>
      </w:pPr>
      <w:r>
        <w:t>8.3 Comparison Against the Local Model</w:t>
      </w:r>
    </w:p>
    <w:p>
      <w:pPr>
        <w:spacing w:after="160"/>
      </w:pPr>
      <w:r>
        <w:rPr>
          <w:i w:val="0"/>
          <w:sz w:val="20"/>
        </w:rPr>
        <w:t>On identical items, with an exact McNemar test for paired observations: the tool pipeline was better on 44 items and worse on none (p &lt; 0.0001). The from-scratch model scores 13.0% on extraction and invents a value on 36.8% of answerable items. (measured)</w:t>
      </w:r>
    </w:p>
    <w:p>
      <w:pPr>
        <w:spacing w:after="160"/>
      </w:pPr>
      <w:r>
        <w:rPr>
          <w:i w:val="0"/>
          <w:sz w:val="20"/>
        </w:rPr>
        <w:t>A parameter-matched comparison settles the cause. SmolLM2-135M - a pre-trained model of 135M parameters against Aivora's 101.7M - beats the from-scratch model on identical items (p = 0.0309). With size approximately held constant the pre-trained model still wins, so the deficit is training data, not capacity. (measured)</w:t>
      </w:r>
    </w:p>
    <w:p>
      <w:pPr>
        <w:pStyle w:val="Heading2"/>
      </w:pPr>
      <w:r>
        <w:t>8.4 Test Suite</w:t>
      </w:r>
    </w:p>
    <w:tbl>
      <w:tblPr>
        <w:tblStyle w:val="TableGrid"/>
        <w:tblW w:type="auto" w:w="0"/>
        <w:jc w:val="center"/>
        <w:tblLook w:firstColumn="1" w:firstRow="1" w:lastColumn="0" w:lastRow="0" w:noHBand="0" w:noVBand="1" w:val="04A0"/>
      </w:tblPr>
      <w:tblGrid>
        <w:gridCol w:w="3264"/>
        <w:gridCol w:w="3264"/>
        <w:gridCol w:w="3264"/>
      </w:tblGrid>
      <w:tr>
        <w:tc>
          <w:tcPr>
            <w:tcW w:type="dxa" w:w="3312"/>
            <w:shd w:val="clear" w:fill="E8EDF5"/>
          </w:tcPr>
          <w:p>
            <w:r/>
            <w:r>
              <w:rPr>
                <w:b/>
                <w:color w:val="111827"/>
                <w:sz w:val="18"/>
              </w:rPr>
              <w:t>Suite</w:t>
            </w:r>
          </w:p>
        </w:tc>
        <w:tc>
          <w:tcPr>
            <w:tcW w:type="dxa" w:w="1152"/>
            <w:shd w:val="clear" w:fill="E8EDF5"/>
          </w:tcPr>
          <w:p>
            <w:r/>
            <w:r>
              <w:rPr>
                <w:b/>
                <w:color w:val="111827"/>
                <w:sz w:val="18"/>
              </w:rPr>
              <w:t>Checks</w:t>
            </w:r>
          </w:p>
        </w:tc>
        <w:tc>
          <w:tcPr>
            <w:tcW w:type="dxa" w:w="5040"/>
            <w:shd w:val="clear" w:fill="E8EDF5"/>
          </w:tcPr>
          <w:p>
            <w:r/>
            <w:r>
              <w:rPr>
                <w:b/>
                <w:color w:val="111827"/>
                <w:sz w:val="18"/>
              </w:rPr>
              <w:t>Covers</w:t>
            </w:r>
          </w:p>
        </w:tc>
      </w:tr>
      <w:tr>
        <w:tc>
          <w:tcPr>
            <w:tcW w:type="dxa" w:w="3312"/>
          </w:tcPr>
          <w:p>
            <w:r/>
            <w:r>
              <w:rPr>
                <w:b/>
                <w:sz w:val="18"/>
              </w:rPr>
              <w:t>test_product_views.py</w:t>
            </w:r>
          </w:p>
        </w:tc>
        <w:tc>
          <w:tcPr>
            <w:tcW w:type="dxa" w:w="1152"/>
          </w:tcPr>
          <w:p>
            <w:r/>
            <w:r>
              <w:rPr>
                <w:sz w:val="18"/>
              </w:rPr>
              <w:t>81</w:t>
            </w:r>
          </w:p>
        </w:tc>
        <w:tc>
          <w:tcPr>
            <w:tcW w:type="dxa" w:w="5040"/>
          </w:tcPr>
          <w:p>
            <w:r/>
            <w:r>
              <w:rPr>
                <w:sz w:val="18"/>
              </w:rPr>
              <w:t>Comparisons, insights, reports, workspace scope</w:t>
            </w:r>
          </w:p>
        </w:tc>
      </w:tr>
      <w:tr>
        <w:tc>
          <w:tcPr>
            <w:tcW w:type="dxa" w:w="3312"/>
          </w:tcPr>
          <w:p>
            <w:r/>
            <w:r>
              <w:rPr>
                <w:b/>
                <w:sz w:val="18"/>
              </w:rPr>
              <w:t>test_alerts_and_analyses.py</w:t>
            </w:r>
          </w:p>
        </w:tc>
        <w:tc>
          <w:tcPr>
            <w:tcW w:type="dxa" w:w="1152"/>
          </w:tcPr>
          <w:p>
            <w:r/>
            <w:r>
              <w:rPr>
                <w:sz w:val="18"/>
              </w:rPr>
              <w:t>58</w:t>
            </w:r>
          </w:p>
        </w:tc>
        <w:tc>
          <w:tcPr>
            <w:tcW w:type="dxa" w:w="5040"/>
          </w:tcPr>
          <w:p>
            <w:r/>
            <w:r>
              <w:rPr>
                <w:sz w:val="18"/>
              </w:rPr>
              <w:t>Monitoring conditions, saved analyses</w:t>
            </w:r>
          </w:p>
        </w:tc>
      </w:tr>
      <w:tr>
        <w:tc>
          <w:tcPr>
            <w:tcW w:type="dxa" w:w="3312"/>
          </w:tcPr>
          <w:p>
            <w:r/>
            <w:r>
              <w:rPr>
                <w:b/>
                <w:sz w:val="18"/>
              </w:rPr>
              <w:t>test_tool_pipeline.py</w:t>
            </w:r>
          </w:p>
        </w:tc>
        <w:tc>
          <w:tcPr>
            <w:tcW w:type="dxa" w:w="1152"/>
          </w:tcPr>
          <w:p>
            <w:r/>
            <w:r>
              <w:rPr>
                <w:sz w:val="18"/>
              </w:rPr>
              <w:t>55</w:t>
            </w:r>
          </w:p>
        </w:tc>
        <w:tc>
          <w:tcPr>
            <w:tcW w:type="dxa" w:w="5040"/>
          </w:tcPr>
          <w:p>
            <w:r/>
            <w:r>
              <w:rPr>
                <w:sz w:val="18"/>
              </w:rPr>
              <w:t>Span rule, Python arithmetic, operand vocabulary</w:t>
            </w:r>
          </w:p>
        </w:tc>
      </w:tr>
      <w:tr>
        <w:tc>
          <w:tcPr>
            <w:tcW w:type="dxa" w:w="3312"/>
          </w:tcPr>
          <w:p>
            <w:r/>
            <w:r>
              <w:rPr>
                <w:b/>
                <w:sz w:val="18"/>
              </w:rPr>
              <w:t>test_intent_routing.py</w:t>
            </w:r>
          </w:p>
        </w:tc>
        <w:tc>
          <w:tcPr>
            <w:tcW w:type="dxa" w:w="1152"/>
          </w:tcPr>
          <w:p>
            <w:r/>
            <w:r>
              <w:rPr>
                <w:sz w:val="18"/>
              </w:rPr>
              <w:t>80</w:t>
            </w:r>
          </w:p>
        </w:tc>
        <w:tc>
          <w:tcPr>
            <w:tcW w:type="dxa" w:w="5040"/>
          </w:tcPr>
          <w:p>
            <w:r/>
            <w:r>
              <w:rPr>
                <w:sz w:val="18"/>
              </w:rPr>
              <w:t>Question classification</w:t>
            </w:r>
          </w:p>
        </w:tc>
      </w:tr>
      <w:tr>
        <w:tc>
          <w:tcPr>
            <w:tcW w:type="dxa" w:w="3312"/>
          </w:tcPr>
          <w:p>
            <w:r/>
            <w:r>
              <w:rPr>
                <w:b/>
                <w:sz w:val="18"/>
              </w:rPr>
              <w:t>test_benchmark.py</w:t>
            </w:r>
          </w:p>
        </w:tc>
        <w:tc>
          <w:tcPr>
            <w:tcW w:type="dxa" w:w="1152"/>
          </w:tcPr>
          <w:p>
            <w:r/>
            <w:r>
              <w:rPr>
                <w:sz w:val="18"/>
              </w:rPr>
              <w:t>47</w:t>
            </w:r>
          </w:p>
        </w:tc>
        <w:tc>
          <w:tcPr>
            <w:tcW w:type="dxa" w:w="5040"/>
          </w:tcPr>
          <w:p>
            <w:r/>
            <w:r>
              <w:rPr>
                <w:sz w:val="18"/>
              </w:rPr>
              <w:t>Benchmark construction and scoring</w:t>
            </w:r>
          </w:p>
        </w:tc>
      </w:tr>
      <w:tr>
        <w:tc>
          <w:tcPr>
            <w:tcW w:type="dxa" w:w="3312"/>
          </w:tcPr>
          <w:p>
            <w:r/>
            <w:r>
              <w:rPr>
                <w:b/>
                <w:sz w:val="18"/>
              </w:rPr>
              <w:t>test_analyst_pipeline.py</w:t>
            </w:r>
          </w:p>
        </w:tc>
        <w:tc>
          <w:tcPr>
            <w:tcW w:type="dxa" w:w="1152"/>
          </w:tcPr>
          <w:p>
            <w:r/>
            <w:r>
              <w:rPr>
                <w:sz w:val="18"/>
              </w:rPr>
              <w:t>28</w:t>
            </w:r>
          </w:p>
        </w:tc>
        <w:tc>
          <w:tcPr>
            <w:tcW w:type="dxa" w:w="5040"/>
          </w:tcPr>
          <w:p>
            <w:r/>
            <w:r>
              <w:rPr>
                <w:sz w:val="18"/>
              </w:rPr>
              <w:t>Analyst bridge and readiness gate</w:t>
            </w:r>
          </w:p>
        </w:tc>
      </w:tr>
      <w:tr>
        <w:tc>
          <w:tcPr>
            <w:tcW w:type="dxa" w:w="3312"/>
          </w:tcPr>
          <w:p>
            <w:r/>
            <w:r>
              <w:rPr>
                <w:b/>
                <w:sz w:val="18"/>
              </w:rPr>
              <w:t>test_response_pipeline.py</w:t>
            </w:r>
          </w:p>
        </w:tc>
        <w:tc>
          <w:tcPr>
            <w:tcW w:type="dxa" w:w="1152"/>
          </w:tcPr>
          <w:p>
            <w:r/>
            <w:r>
              <w:rPr>
                <w:sz w:val="18"/>
              </w:rPr>
              <w:t>26</w:t>
            </w:r>
          </w:p>
        </w:tc>
        <w:tc>
          <w:tcPr>
            <w:tcW w:type="dxa" w:w="5040"/>
          </w:tcPr>
          <w:p>
            <w:r/>
            <w:r>
              <w:rPr>
                <w:sz w:val="18"/>
              </w:rPr>
              <w:t>End-to-end response construction</w:t>
            </w:r>
          </w:p>
        </w:tc>
      </w:tr>
      <w:tr>
        <w:tc>
          <w:tcPr>
            <w:tcW w:type="dxa" w:w="3312"/>
          </w:tcPr>
          <w:p>
            <w:r/>
            <w:r>
              <w:rPr>
                <w:b/>
                <w:sz w:val="18"/>
              </w:rPr>
              <w:t>test_api_security.py</w:t>
            </w:r>
          </w:p>
        </w:tc>
        <w:tc>
          <w:tcPr>
            <w:tcW w:type="dxa" w:w="1152"/>
          </w:tcPr>
          <w:p>
            <w:r/>
            <w:r>
              <w:rPr>
                <w:sz w:val="18"/>
              </w:rPr>
              <w:t>25</w:t>
            </w:r>
          </w:p>
        </w:tc>
        <w:tc>
          <w:tcPr>
            <w:tcW w:type="dxa" w:w="5040"/>
          </w:tcPr>
          <w:p>
            <w:r/>
            <w:r>
              <w:rPr>
                <w:sz w:val="18"/>
              </w:rPr>
              <w:t>CORS, body limits, path confinement</w:t>
            </w:r>
          </w:p>
        </w:tc>
      </w:tr>
      <w:tr>
        <w:tc>
          <w:tcPr>
            <w:tcW w:type="dxa" w:w="3312"/>
          </w:tcPr>
          <w:p>
            <w:r/>
            <w:r>
              <w:rPr>
                <w:b/>
                <w:sz w:val="18"/>
              </w:rPr>
              <w:t>test_scorer_regressions.py</w:t>
            </w:r>
          </w:p>
        </w:tc>
        <w:tc>
          <w:tcPr>
            <w:tcW w:type="dxa" w:w="1152"/>
          </w:tcPr>
          <w:p>
            <w:r/>
            <w:r>
              <w:rPr>
                <w:sz w:val="18"/>
              </w:rPr>
              <w:t>23</w:t>
            </w:r>
          </w:p>
        </w:tc>
        <w:tc>
          <w:tcPr>
            <w:tcW w:type="dxa" w:w="5040"/>
          </w:tcPr>
          <w:p>
            <w:r/>
            <w:r>
              <w:rPr>
                <w:sz w:val="18"/>
              </w:rPr>
              <w:t>Scorer correctness</w:t>
            </w:r>
          </w:p>
        </w:tc>
      </w:tr>
      <w:tr>
        <w:tc>
          <w:tcPr>
            <w:tcW w:type="dxa" w:w="3312"/>
          </w:tcPr>
          <w:p>
            <w:r/>
            <w:r>
              <w:rPr>
                <w:b/>
                <w:sz w:val="18"/>
              </w:rPr>
              <w:t>test_numbers_in.py</w:t>
            </w:r>
          </w:p>
        </w:tc>
        <w:tc>
          <w:tcPr>
            <w:tcW w:type="dxa" w:w="1152"/>
          </w:tcPr>
          <w:p>
            <w:r/>
            <w:r>
              <w:rPr>
                <w:sz w:val="18"/>
              </w:rPr>
              <w:t>19</w:t>
            </w:r>
          </w:p>
        </w:tc>
        <w:tc>
          <w:tcPr>
            <w:tcW w:type="dxa" w:w="5040"/>
          </w:tcPr>
          <w:p>
            <w:r/>
            <w:r>
              <w:rPr>
                <w:sz w:val="18"/>
              </w:rPr>
              <w:t>Numeric parsing and token boundaries</w:t>
            </w:r>
          </w:p>
        </w:tc>
      </w:tr>
      <w:tr>
        <w:tc>
          <w:tcPr>
            <w:tcW w:type="dxa" w:w="3312"/>
          </w:tcPr>
          <w:p>
            <w:r/>
            <w:r>
              <w:rPr>
                <w:b/>
                <w:sz w:val="18"/>
              </w:rPr>
              <w:t>test_knowledge_retrieval.py</w:t>
            </w:r>
          </w:p>
        </w:tc>
        <w:tc>
          <w:tcPr>
            <w:tcW w:type="dxa" w:w="1152"/>
          </w:tcPr>
          <w:p>
            <w:r/>
            <w:r>
              <w:rPr>
                <w:sz w:val="18"/>
              </w:rPr>
              <w:t>11</w:t>
            </w:r>
          </w:p>
        </w:tc>
        <w:tc>
          <w:tcPr>
            <w:tcW w:type="dxa" w:w="5040"/>
          </w:tcPr>
          <w:p>
            <w:r/>
            <w:r>
              <w:rPr>
                <w:sz w:val="18"/>
              </w:rPr>
              <w:t>Glossary and definitions</w:t>
            </w:r>
          </w:p>
        </w:tc>
      </w:tr>
    </w:tbl>
    <w:p/>
    <w:p>
      <w:pPr>
        <w:spacing w:after="160"/>
      </w:pPr>
      <w:r>
        <w:rPr>
          <w:i w:val="0"/>
          <w:sz w:val="20"/>
        </w:rPr>
        <w:t>All suites pass as of 5 October 2026. (measured)</w:t>
      </w:r>
    </w:p>
    <w:p>
      <w:pPr>
        <w:pStyle w:val="Heading1"/>
      </w:pPr>
      <w:r>
        <w:t>9. Installation &amp; Setup</w:t>
      </w:r>
    </w:p>
    <w:p>
      <w:pPr>
        <w:pStyle w:val="Heading2"/>
      </w:pPr>
      <w:r>
        <w:t>9.1 Prerequisites</w:t>
      </w:r>
    </w:p>
    <w:p>
      <w:pPr>
        <w:pStyle w:val="ListBullet"/>
        <w:spacing w:after="60"/>
      </w:pPr>
      <w:r>
        <w:rPr>
          <w:sz w:val="20"/>
        </w:rPr>
        <w:t>Python 3.11 or later (3.14 verified).</w:t>
      </w:r>
    </w:p>
    <w:p>
      <w:pPr>
        <w:pStyle w:val="ListBullet"/>
        <w:spacing w:after="60"/>
      </w:pPr>
      <w:r>
        <w:rPr>
          <w:sz w:val="20"/>
        </w:rPr>
        <w:t>Approximately 2 GB of disk space for the repository and checkpoints.</w:t>
      </w:r>
    </w:p>
    <w:p>
      <w:pPr>
        <w:pStyle w:val="ListBullet"/>
        <w:spacing w:after="60"/>
      </w:pPr>
      <w:r>
        <w:rPr>
          <w:sz w:val="20"/>
        </w:rPr>
        <w:t>4 GB RAM minimum for the local model; 8 GB free to host a 1.5B parameter Hugging Face backend.</w:t>
      </w:r>
    </w:p>
    <w:p>
      <w:pPr>
        <w:pStyle w:val="ListBullet"/>
        <w:spacing w:after="60"/>
      </w:pPr>
      <w:r>
        <w:rPr>
          <w:sz w:val="20"/>
        </w:rPr>
        <w:t>No GPU required. No external API key required.</w:t>
      </w:r>
    </w:p>
    <w:p>
      <w:pPr>
        <w:pStyle w:val="Heading2"/>
      </w:pPr>
      <w:r>
        <w:t>9.2 Installation</w:t>
      </w:r>
    </w:p>
    <w:p>
      <w:pPr>
        <w:spacing w:after="160"/>
        <w:ind w:left="360"/>
      </w:pPr>
      <w:r>
        <w:rPr>
          <w:rFonts w:ascii="Consolas" w:hAnsi="Consolas"/>
          <w:sz w:val="17"/>
        </w:rPr>
        <w:t>git clone https://github.com/Ankushk-aosc/Aivora-AI.git</w:t>
        <w:br/>
        <w:t>cd Aivora-AI</w:t>
        <w:br/>
        <w:t>python -m venv deepseek_env</w:t>
        <w:br/>
        <w:t>deepseek_env\Scripts\activate        # Windows</w:t>
        <w:br/>
        <w:t>source deepseek_env/bin/activate      # macOS / Linux</w:t>
        <w:br/>
        <w:t>pip install -r requirements.txt</w:t>
        <w:br/>
        <w:t>python -m app.backend.server --port 8001</w:t>
      </w:r>
    </w:p>
    <w:p>
      <w:pPr>
        <w:spacing w:after="160"/>
      </w:pPr>
      <w:r>
        <w:rPr>
          <w:i w:val="0"/>
          <w:sz w:val="20"/>
        </w:rPr>
        <w:t>The interface is then served at http://127.0.0.1:8001/.</w:t>
      </w:r>
    </w:p>
    <w:p>
      <w:pPr>
        <w:pStyle w:val="Heading2"/>
      </w:pPr>
      <w:r>
        <w:t>9.3 Environment Variables</w:t>
      </w:r>
    </w:p>
    <w:tbl>
      <w:tblPr>
        <w:tblStyle w:val="TableGrid"/>
        <w:tblW w:type="auto" w:w="0"/>
        <w:jc w:val="center"/>
        <w:tblLook w:firstColumn="1" w:firstRow="1" w:lastColumn="0" w:lastRow="0" w:noHBand="0" w:noVBand="1" w:val="04A0"/>
      </w:tblPr>
      <w:tblGrid>
        <w:gridCol w:w="3264"/>
        <w:gridCol w:w="3264"/>
        <w:gridCol w:w="3264"/>
      </w:tblGrid>
      <w:tr>
        <w:tc>
          <w:tcPr>
            <w:tcW w:type="dxa" w:w="3024"/>
            <w:shd w:val="clear" w:fill="E8EDF5"/>
          </w:tcPr>
          <w:p>
            <w:r/>
            <w:r>
              <w:rPr>
                <w:b/>
                <w:color w:val="111827"/>
                <w:sz w:val="18"/>
              </w:rPr>
              <w:t>Variable</w:t>
            </w:r>
          </w:p>
        </w:tc>
        <w:tc>
          <w:tcPr>
            <w:tcW w:type="dxa" w:w="2736"/>
            <w:shd w:val="clear" w:fill="E8EDF5"/>
          </w:tcPr>
          <w:p>
            <w:r/>
            <w:r>
              <w:rPr>
                <w:b/>
                <w:color w:val="111827"/>
                <w:sz w:val="18"/>
              </w:rPr>
              <w:t>Default</w:t>
            </w:r>
          </w:p>
        </w:tc>
        <w:tc>
          <w:tcPr>
            <w:tcW w:type="dxa" w:w="3744"/>
            <w:shd w:val="clear" w:fill="E8EDF5"/>
          </w:tcPr>
          <w:p>
            <w:r/>
            <w:r>
              <w:rPr>
                <w:b/>
                <w:color w:val="111827"/>
                <w:sz w:val="18"/>
              </w:rPr>
              <w:t>Purpose</w:t>
            </w:r>
          </w:p>
        </w:tc>
      </w:tr>
      <w:tr>
        <w:tc>
          <w:tcPr>
            <w:tcW w:type="dxa" w:w="3024"/>
          </w:tcPr>
          <w:p>
            <w:r/>
            <w:r>
              <w:rPr>
                <w:b/>
                <w:sz w:val="18"/>
              </w:rPr>
              <w:t>AIVORA_ANALYST_PIPELINE</w:t>
            </w:r>
          </w:p>
        </w:tc>
        <w:tc>
          <w:tcPr>
            <w:tcW w:type="dxa" w:w="2736"/>
          </w:tcPr>
          <w:p>
            <w:r/>
            <w:r>
              <w:rPr>
                <w:sz w:val="18"/>
              </w:rPr>
              <w:t>1</w:t>
            </w:r>
          </w:p>
        </w:tc>
        <w:tc>
          <w:tcPr>
            <w:tcW w:type="dxa" w:w="3744"/>
          </w:tcPr>
          <w:p>
            <w:r/>
            <w:r>
              <w:rPr>
                <w:sz w:val="18"/>
              </w:rPr>
              <w:t>On by default. Set to 0 to use the rule-based engine instead; when on and no capable model can be hosted, the Analyst refuses rather than answering through an unguarded path</w:t>
            </w:r>
          </w:p>
        </w:tc>
      </w:tr>
      <w:tr>
        <w:tc>
          <w:tcPr>
            <w:tcW w:type="dxa" w:w="3024"/>
          </w:tcPr>
          <w:p>
            <w:r/>
            <w:r>
              <w:rPr>
                <w:b/>
                <w:sz w:val="18"/>
              </w:rPr>
              <w:t>AIVORA_ANALYST_MODEL</w:t>
            </w:r>
          </w:p>
        </w:tc>
        <w:tc>
          <w:tcPr>
            <w:tcW w:type="dxa" w:w="2736"/>
          </w:tcPr>
          <w:p>
            <w:r/>
            <w:r>
              <w:rPr>
                <w:sz w:val="18"/>
              </w:rPr>
              <w:t>Qwen/Qwen2.5-1.5B-Instruct</w:t>
            </w:r>
          </w:p>
        </w:tc>
        <w:tc>
          <w:tcPr>
            <w:tcW w:type="dxa" w:w="3744"/>
          </w:tcPr>
          <w:p>
            <w:r/>
            <w:r>
              <w:rPr>
                <w:sz w:val="18"/>
              </w:rPr>
              <w:t>Model backing the Analyst pipeline</w:t>
            </w:r>
          </w:p>
        </w:tc>
      </w:tr>
      <w:tr>
        <w:tc>
          <w:tcPr>
            <w:tcW w:type="dxa" w:w="3024"/>
          </w:tcPr>
          <w:p>
            <w:r/>
            <w:r>
              <w:rPr>
                <w:b/>
                <w:sz w:val="18"/>
              </w:rPr>
              <w:t>AIVORA_CORS_ORIGINS</w:t>
            </w:r>
          </w:p>
        </w:tc>
        <w:tc>
          <w:tcPr>
            <w:tcW w:type="dxa" w:w="2736"/>
          </w:tcPr>
          <w:p>
            <w:r/>
            <w:r>
              <w:rPr>
                <w:sz w:val="18"/>
              </w:rPr>
              <w:t>localhost allow-list</w:t>
            </w:r>
          </w:p>
        </w:tc>
        <w:tc>
          <w:tcPr>
            <w:tcW w:type="dxa" w:w="3744"/>
          </w:tcPr>
          <w:p>
            <w:r/>
            <w:r>
              <w:rPr>
                <w:sz w:val="18"/>
              </w:rPr>
              <w:t>Permitted browser origins</w:t>
            </w:r>
          </w:p>
        </w:tc>
      </w:tr>
      <w:tr>
        <w:tc>
          <w:tcPr>
            <w:tcW w:type="dxa" w:w="3024"/>
          </w:tcPr>
          <w:p>
            <w:r/>
            <w:r>
              <w:rPr>
                <w:b/>
                <w:sz w:val="18"/>
              </w:rPr>
              <w:t>AIVORA_DOCUMENT_ROOT</w:t>
            </w:r>
          </w:p>
        </w:tc>
        <w:tc>
          <w:tcPr>
            <w:tcW w:type="dxa" w:w="2736"/>
          </w:tcPr>
          <w:p>
            <w:r/>
            <w:r>
              <w:rPr>
                <w:sz w:val="18"/>
              </w:rPr>
              <w:t>data/documents</w:t>
            </w:r>
          </w:p>
        </w:tc>
        <w:tc>
          <w:tcPr>
            <w:tcW w:type="dxa" w:w="3744"/>
          </w:tcPr>
          <w:p>
            <w:r/>
            <w:r>
              <w:rPr>
                <w:sz w:val="18"/>
              </w:rPr>
              <w:t>Root beneath which document paths are confined</w:t>
            </w:r>
          </w:p>
        </w:tc>
      </w:tr>
      <w:tr>
        <w:tc>
          <w:tcPr>
            <w:tcW w:type="dxa" w:w="3024"/>
          </w:tcPr>
          <w:p>
            <w:r/>
            <w:r>
              <w:rPr>
                <w:b/>
                <w:sz w:val="18"/>
              </w:rPr>
              <w:t>AIVORA_MAX_BODY_BYTES</w:t>
            </w:r>
          </w:p>
        </w:tc>
        <w:tc>
          <w:tcPr>
            <w:tcW w:type="dxa" w:w="2736"/>
          </w:tcPr>
          <w:p>
            <w:r/>
            <w:r>
              <w:rPr>
                <w:sz w:val="18"/>
              </w:rPr>
              <w:t>built-in limit</w:t>
            </w:r>
          </w:p>
        </w:tc>
        <w:tc>
          <w:tcPr>
            <w:tcW w:type="dxa" w:w="3744"/>
          </w:tcPr>
          <w:p>
            <w:r/>
            <w:r>
              <w:rPr>
                <w:sz w:val="18"/>
              </w:rPr>
              <w:t>Maximum request body size</w:t>
            </w:r>
          </w:p>
        </w:tc>
      </w:tr>
    </w:tbl>
    <w:p/>
    <w:p>
      <w:pPr>
        <w:pStyle w:val="Heading2"/>
      </w:pPr>
      <w:r>
        <w:t>9.4 Running the Tests</w:t>
      </w:r>
    </w:p>
    <w:p>
      <w:pPr>
        <w:spacing w:after="160"/>
        <w:ind w:left="360"/>
      </w:pPr>
      <w:r>
        <w:rPr>
          <w:rFonts w:ascii="Consolas" w:hAnsi="Consolas"/>
          <w:sz w:val="17"/>
        </w:rPr>
        <w:t>deepseek_env/Scripts/python.exe tests/test_product_views.py</w:t>
        <w:br/>
        <w:t>deepseek_env/Scripts/python.exe tests/test_tool_pipeline.py</w:t>
        <w:br/>
        <w:t>deepseek_env/Scripts/python.exe tests/test_alerts_and_analyses.py</w:t>
        <w:br/>
        <w:t>deepseek_env/Scripts/python.exe tests/test_api_security.py</w:t>
      </w:r>
    </w:p>
    <w:p>
      <w:pPr>
        <w:pStyle w:val="Heading1"/>
      </w:pPr>
      <w:r>
        <w:t>10. Security</w:t>
      </w:r>
    </w:p>
    <w:tbl>
      <w:tblPr>
        <w:tblStyle w:val="TableGrid"/>
        <w:tblW w:type="auto" w:w="0"/>
        <w:jc w:val="center"/>
        <w:tblLook w:firstColumn="1" w:firstRow="1" w:lastColumn="0" w:lastRow="0" w:noHBand="0" w:noVBand="1" w:val="04A0"/>
      </w:tblPr>
      <w:tblGrid>
        <w:gridCol w:w="4896"/>
        <w:gridCol w:w="4896"/>
      </w:tblGrid>
      <w:tr>
        <w:tc>
          <w:tcPr>
            <w:tcW w:type="dxa" w:w="2592"/>
            <w:shd w:val="clear" w:fill="E8EDF5"/>
          </w:tcPr>
          <w:p>
            <w:r/>
            <w:r>
              <w:rPr>
                <w:b/>
                <w:color w:val="111827"/>
                <w:sz w:val="18"/>
              </w:rPr>
              <w:t>Control</w:t>
            </w:r>
          </w:p>
        </w:tc>
        <w:tc>
          <w:tcPr>
            <w:tcW w:type="dxa" w:w="6912"/>
            <w:shd w:val="clear" w:fill="E8EDF5"/>
          </w:tcPr>
          <w:p>
            <w:r/>
            <w:r>
              <w:rPr>
                <w:b/>
                <w:color w:val="111827"/>
                <w:sz w:val="18"/>
              </w:rPr>
              <w:t>Implementation</w:t>
            </w:r>
          </w:p>
        </w:tc>
      </w:tr>
      <w:tr>
        <w:tc>
          <w:tcPr>
            <w:tcW w:type="dxa" w:w="2592"/>
          </w:tcPr>
          <w:p>
            <w:r/>
            <w:r>
              <w:rPr>
                <w:sz w:val="18"/>
              </w:rPr>
              <w:t>Origin control</w:t>
            </w:r>
          </w:p>
        </w:tc>
        <w:tc>
          <w:tcPr>
            <w:tcW w:type="dxa" w:w="6912"/>
          </w:tcPr>
          <w:p>
            <w:r/>
            <w:r>
              <w:rPr>
                <w:sz w:val="18"/>
              </w:rPr>
              <w:t>CORS allow-list; same-origin API calls from the interface</w:t>
            </w:r>
          </w:p>
        </w:tc>
      </w:tr>
      <w:tr>
        <w:tc>
          <w:tcPr>
            <w:tcW w:type="dxa" w:w="2592"/>
          </w:tcPr>
          <w:p>
            <w:r/>
            <w:r>
              <w:rPr>
                <w:sz w:val="18"/>
              </w:rPr>
              <w:t>Request size</w:t>
            </w:r>
          </w:p>
        </w:tc>
        <w:tc>
          <w:tcPr>
            <w:tcW w:type="dxa" w:w="6912"/>
          </w:tcPr>
          <w:p>
            <w:r/>
            <w:r>
              <w:rPr>
                <w:sz w:val="18"/>
              </w:rPr>
              <w:t>Body byte limit enforced before parsing</w:t>
            </w:r>
          </w:p>
        </w:tc>
      </w:tr>
      <w:tr>
        <w:tc>
          <w:tcPr>
            <w:tcW w:type="dxa" w:w="2592"/>
          </w:tcPr>
          <w:p>
            <w:r/>
            <w:r>
              <w:rPr>
                <w:sz w:val="18"/>
              </w:rPr>
              <w:t>Path confinement</w:t>
            </w:r>
          </w:p>
        </w:tc>
        <w:tc>
          <w:tcPr>
            <w:tcW w:type="dxa" w:w="6912"/>
          </w:tcPr>
          <w:p>
            <w:r/>
            <w:r>
              <w:rPr>
                <w:sz w:val="18"/>
              </w:rPr>
              <w:t>Document paths resolved and confined beneath the document root</w:t>
            </w:r>
          </w:p>
        </w:tc>
      </w:tr>
      <w:tr>
        <w:tc>
          <w:tcPr>
            <w:tcW w:type="dxa" w:w="2592"/>
          </w:tcPr>
          <w:p>
            <w:r/>
            <w:r>
              <w:rPr>
                <w:sz w:val="18"/>
              </w:rPr>
              <w:t>Extension allow-list</w:t>
            </w:r>
          </w:p>
        </w:tc>
        <w:tc>
          <w:tcPr>
            <w:tcW w:type="dxa" w:w="6912"/>
          </w:tcPr>
          <w:p>
            <w:r/>
            <w:r>
              <w:rPr>
                <w:sz w:val="18"/>
              </w:rPr>
              <w:t>Only permitted document extensions accepted</w:t>
            </w:r>
          </w:p>
        </w:tc>
      </w:tr>
      <w:tr>
        <w:tc>
          <w:tcPr>
            <w:tcW w:type="dxa" w:w="2592"/>
          </w:tcPr>
          <w:p>
            <w:r/>
            <w:r>
              <w:rPr>
                <w:sz w:val="18"/>
              </w:rPr>
              <w:t>Content handling</w:t>
            </w:r>
          </w:p>
        </w:tc>
        <w:tc>
          <w:tcPr>
            <w:tcW w:type="dxa" w:w="6912"/>
          </w:tcPr>
          <w:p>
            <w:r/>
            <w:r>
              <w:rPr>
                <w:sz w:val="18"/>
              </w:rPr>
              <w:t>Uploaded document content is never executed; rendered output is escaped</w:t>
            </w:r>
          </w:p>
        </w:tc>
      </w:tr>
      <w:tr>
        <w:tc>
          <w:tcPr>
            <w:tcW w:type="dxa" w:w="2592"/>
          </w:tcPr>
          <w:p>
            <w:r/>
            <w:r>
              <w:rPr>
                <w:sz w:val="18"/>
              </w:rPr>
              <w:t>Secrets</w:t>
            </w:r>
          </w:p>
        </w:tc>
        <w:tc>
          <w:tcPr>
            <w:tcW w:type="dxa" w:w="6912"/>
          </w:tcPr>
          <w:p>
            <w:r/>
            <w:r>
              <w:rPr>
                <w:sz w:val="18"/>
              </w:rPr>
              <w:t>No API keys, credentials or model secrets in frontend code</w:t>
            </w:r>
          </w:p>
        </w:tc>
      </w:tr>
    </w:tbl>
    <w:p/>
    <w:tbl>
      <w:tblPr>
        <w:tblStyle w:val="TableGrid"/>
        <w:tblW w:type="auto" w:w="0"/>
        <w:tblLook w:firstColumn="1" w:firstRow="1" w:lastColumn="0" w:lastRow="0" w:noHBand="0" w:noVBand="1" w:val="04A0"/>
      </w:tblPr>
      <w:tblGrid>
        <w:gridCol w:w="9792"/>
      </w:tblGrid>
      <w:tr>
        <w:tc>
          <w:tcPr>
            <w:tcW w:type="dxa" w:w="9792"/>
            <w:shd w:val="clear" w:fill="FDF2F2"/>
          </w:tcPr>
          <w:p>
            <w:r/>
            <w:r>
              <w:rPr>
                <w:b/>
                <w:color w:val="B91C1C"/>
                <w:sz w:val="19"/>
              </w:rPr>
              <w:t>Limitation. The product endpoints are not individually authenticated. Monitoring rules and saved analyses are therefore per-installation rather than per-user. This is acceptable for a single-workspace deployment and must change before multi-user use.</w:t>
            </w:r>
          </w:p>
        </w:tc>
      </w:tr>
    </w:tbl>
    <w:p/>
    <w:p>
      <w:pPr>
        <w:pStyle w:val="Heading1"/>
      </w:pPr>
      <w:r>
        <w:t>11. The Analyst Engine and Its Gate</w:t>
      </w:r>
    </w:p>
    <w:p>
      <w:pPr>
        <w:spacing w:after="160"/>
      </w:pPr>
      <w:r>
        <w:rPr>
          <w:i w:val="0"/>
          <w:sz w:val="20"/>
        </w:rPr>
        <w:t>The Analyst can be served either by the existing rule-based engine or by the tool pipeline. The pipeline is the better engine, and it is gated for a measured reason.</w:t>
      </w:r>
    </w:p>
    <w:p>
      <w:pPr>
        <w:spacing w:after="160"/>
      </w:pPr>
      <w:r>
        <w:rPr>
          <w:i w:val="0"/>
          <w:sz w:val="20"/>
        </w:rPr>
        <w:t>Placed behind the local 101.7M model, the pipeline abstained on three of three test questions. The model emitted "Revenue = $5,200,000" for a context stating $10,000,000: it invented a figure, and the span rule stopped it. The guarantee held, but coverage was zero. Switching wholesale would have replaced an engine that answers with one that refuses everything. (measured, 5 October 2026)</w:t>
      </w:r>
    </w:p>
    <w:p>
      <w:pPr>
        <w:spacing w:after="160"/>
      </w:pPr>
      <w:r>
        <w:rPr>
          <w:i w:val="0"/>
          <w:sz w:val="20"/>
        </w:rPr>
        <w:t>The bridge therefore refuses to serve unless the configured model can actually be hosted, and reports the shortfall at /api/analyst/engine. Enabling it on unsuitable hardware is not possible by accident.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3312"/>
            <w:shd w:val="clear" w:fill="E8EDF5"/>
          </w:tcPr>
          <w:p>
            <w:r/>
            <w:r>
              <w:rPr>
                <w:b/>
                <w:color w:val="111827"/>
                <w:sz w:val="18"/>
              </w:rPr>
              <w:t>Engine</w:t>
            </w:r>
          </w:p>
        </w:tc>
        <w:tc>
          <w:tcPr>
            <w:tcW w:type="dxa" w:w="1728"/>
            <w:shd w:val="clear" w:fill="E8EDF5"/>
          </w:tcPr>
          <w:p>
            <w:r/>
            <w:r>
              <w:rPr>
                <w:b/>
                <w:color w:val="111827"/>
                <w:sz w:val="18"/>
              </w:rPr>
              <w:t>Extraction</w:t>
            </w:r>
          </w:p>
        </w:tc>
        <w:tc>
          <w:tcPr>
            <w:tcW w:type="dxa" w:w="2160"/>
            <w:shd w:val="clear" w:fill="E8EDF5"/>
          </w:tcPr>
          <w:p>
            <w:r/>
            <w:r>
              <w:rPr>
                <w:b/>
                <w:color w:val="111827"/>
                <w:sz w:val="18"/>
              </w:rPr>
              <w:t>Invented values</w:t>
            </w:r>
          </w:p>
        </w:tc>
        <w:tc>
          <w:tcPr>
            <w:tcW w:type="dxa" w:w="2304"/>
            <w:shd w:val="clear" w:fill="E8EDF5"/>
          </w:tcPr>
          <w:p>
            <w:r/>
            <w:r>
              <w:rPr>
                <w:b/>
                <w:color w:val="111827"/>
                <w:sz w:val="18"/>
              </w:rPr>
              <w:t>Hosting</w:t>
            </w:r>
          </w:p>
        </w:tc>
      </w:tr>
      <w:tr>
        <w:tc>
          <w:tcPr>
            <w:tcW w:type="dxa" w:w="3312"/>
          </w:tcPr>
          <w:p>
            <w:r/>
            <w:r>
              <w:rPr>
                <w:b/>
                <w:sz w:val="18"/>
              </w:rPr>
              <w:t>Local 101.7M model</w:t>
            </w:r>
          </w:p>
        </w:tc>
        <w:tc>
          <w:tcPr>
            <w:tcW w:type="dxa" w:w="1728"/>
          </w:tcPr>
          <w:p>
            <w:r/>
            <w:r>
              <w:rPr>
                <w:sz w:val="18"/>
              </w:rPr>
              <w:t>13.0%</w:t>
            </w:r>
          </w:p>
        </w:tc>
        <w:tc>
          <w:tcPr>
            <w:tcW w:type="dxa" w:w="2160"/>
          </w:tcPr>
          <w:p>
            <w:r/>
            <w:r>
              <w:rPr>
                <w:sz w:val="18"/>
              </w:rPr>
              <w:t>36.8%</w:t>
            </w:r>
          </w:p>
        </w:tc>
        <w:tc>
          <w:tcPr>
            <w:tcW w:type="dxa" w:w="2304"/>
          </w:tcPr>
          <w:p>
            <w:r/>
            <w:r>
              <w:rPr>
                <w:sz w:val="18"/>
              </w:rPr>
              <w:t>Runs on 4 GB RAM</w:t>
            </w:r>
          </w:p>
        </w:tc>
      </w:tr>
      <w:tr>
        <w:tc>
          <w:tcPr>
            <w:tcW w:type="dxa" w:w="3312"/>
          </w:tcPr>
          <w:p>
            <w:r/>
            <w:r>
              <w:rPr>
                <w:b/>
                <w:sz w:val="18"/>
              </w:rPr>
              <w:t>Qwen2.5-1.5B alone, no pipeline</w:t>
            </w:r>
          </w:p>
        </w:tc>
        <w:tc>
          <w:tcPr>
            <w:tcW w:type="dxa" w:w="1728"/>
          </w:tcPr>
          <w:p>
            <w:r/>
            <w:r>
              <w:rPr>
                <w:sz w:val="18"/>
              </w:rPr>
              <w:t>98.5%</w:t>
            </w:r>
          </w:p>
        </w:tc>
        <w:tc>
          <w:tcPr>
            <w:tcW w:type="dxa" w:w="2160"/>
          </w:tcPr>
          <w:p>
            <w:r/>
            <w:r>
              <w:rPr>
                <w:sz w:val="18"/>
              </w:rPr>
              <w:t>0.77%</w:t>
            </w:r>
          </w:p>
        </w:tc>
        <w:tc>
          <w:tcPr>
            <w:tcW w:type="dxa" w:w="2304"/>
          </w:tcPr>
          <w:p>
            <w:r/>
            <w:r>
              <w:rPr>
                <w:sz w:val="18"/>
              </w:rPr>
              <w:t>Needs about 7 GB free</w:t>
            </w:r>
          </w:p>
        </w:tc>
      </w:tr>
      <w:tr>
        <w:tc>
          <w:tcPr>
            <w:tcW w:type="dxa" w:w="3312"/>
          </w:tcPr>
          <w:p>
            <w:r/>
            <w:r>
              <w:rPr>
                <w:b/>
                <w:sz w:val="18"/>
              </w:rPr>
              <w:t>Tool pipeline + Qwen2.5-1.5B</w:t>
            </w:r>
          </w:p>
        </w:tc>
        <w:tc>
          <w:tcPr>
            <w:tcW w:type="dxa" w:w="1728"/>
          </w:tcPr>
          <w:p>
            <w:r/>
            <w:r>
              <w:rPr>
                <w:sz w:val="18"/>
              </w:rPr>
              <w:t>97.1%</w:t>
            </w:r>
          </w:p>
        </w:tc>
        <w:tc>
          <w:tcPr>
            <w:tcW w:type="dxa" w:w="2160"/>
          </w:tcPr>
          <w:p>
            <w:r/>
            <w:r>
              <w:rPr>
                <w:sz w:val="18"/>
              </w:rPr>
              <w:t>0.0%</w:t>
            </w:r>
          </w:p>
        </w:tc>
        <w:tc>
          <w:tcPr>
            <w:tcW w:type="dxa" w:w="2304"/>
          </w:tcPr>
          <w:p>
            <w:r/>
            <w:r>
              <w:rPr>
                <w:sz w:val="18"/>
              </w:rPr>
              <w:t>Needs about 7 GB free</w:t>
            </w:r>
          </w:p>
        </w:tc>
      </w:tr>
    </w:tbl>
    <w:p/>
    <w:p>
      <w:pPr>
        <w:pStyle w:val="Heading1"/>
      </w:pPr>
      <w:r>
        <w:t>12. Known Limitations</w:t>
      </w:r>
    </w:p>
    <w:p>
      <w:pPr>
        <w:pStyle w:val="ListBullet"/>
        <w:spacing w:after="60"/>
      </w:pPr>
      <w:r>
        <w:rPr>
          <w:sz w:val="20"/>
        </w:rPr>
        <w:t>Citations are document-level, not passage-level. Source documents are plain text with no page structure, and page numbers are not invented.</w:t>
      </w:r>
    </w:p>
    <w:p>
      <w:pPr>
        <w:pStyle w:val="ListBullet"/>
        <w:spacing w:after="60"/>
      </w:pPr>
      <w:r>
        <w:rPr>
          <w:sz w:val="20"/>
        </w:rPr>
        <w:t>Period comparison is limited by the source. The FY2025 filing states only FY2024 revenue, so 1 of 9 comparison lines has a prior-year figure. UNDER REVIEW: a change not yet accepted supplies the other eight by applying FY2025 margins to FY2024 revenue. Those figures are modelled, not reported, and must not be presented beside audited ones without being labelled as such.</w:t>
      </w:r>
    </w:p>
    <w:p>
      <w:pPr>
        <w:pStyle w:val="ListBullet"/>
        <w:spacing w:after="60"/>
      </w:pPr>
      <w:r>
        <w:rPr>
          <w:sz w:val="20"/>
        </w:rPr>
        <w:t>Calculation accuracy is conditional on caption coverage: 100% on statement wordings the operand vocabulary holds, 11.4% on wordings it does not. Coverage against real filings is not measured.</w:t>
      </w:r>
    </w:p>
    <w:p>
      <w:pPr>
        <w:pStyle w:val="ListBullet"/>
        <w:spacing w:after="60"/>
      </w:pPr>
      <w:r>
        <w:rPr>
          <w:sz w:val="20"/>
        </w:rPr>
        <w:t>Two misses remain where a valid source span cites the wrong line - goodwill answered from an adjacent intangibles line, cash generated from operations from an adjacent revenue line. Span validation cannot catch this by construction: the span is real, the row is wrong.</w:t>
      </w:r>
    </w:p>
    <w:p>
      <w:pPr>
        <w:pStyle w:val="ListBullet"/>
        <w:spacing w:after="60"/>
      </w:pPr>
      <w:r>
        <w:rPr>
          <w:sz w:val="20"/>
        </w:rPr>
        <w:t>Multi-company and document-versus-document comparison are designed for but not demonstrated: the workspace contains one company and one period.</w:t>
      </w:r>
    </w:p>
    <w:p>
      <w:pPr>
        <w:pStyle w:val="ListBullet"/>
        <w:spacing w:after="60"/>
      </w:pPr>
      <w:r>
        <w:rPr>
          <w:sz w:val="20"/>
        </w:rPr>
        <w:t>Chat history and global search are not implemented. A search box over a single document would be decoration.</w:t>
      </w:r>
    </w:p>
    <w:p>
      <w:pPr>
        <w:pStyle w:val="ListBullet"/>
        <w:spacing w:after="60"/>
      </w:pPr>
      <w:r>
        <w:rPr>
          <w:sz w:val="20"/>
        </w:rPr>
        <w:t>Monitoring is evaluated on view, not watched continuously. There is no scheduler and no change feed.</w:t>
      </w:r>
    </w:p>
    <w:p>
      <w:pPr>
        <w:pStyle w:val="ListBullet"/>
        <w:spacing w:after="60"/>
      </w:pPr>
      <w:r>
        <w:rPr>
          <w:sz w:val="20"/>
        </w:rPr>
        <w:t>The product endpoints are unauthenticated; stores are per-installation.</w:t>
      </w:r>
    </w:p>
    <w:p>
      <w:pPr>
        <w:pStyle w:val="ListBullet"/>
        <w:spacing w:after="60"/>
      </w:pPr>
      <w:r>
        <w:rPr>
          <w:sz w:val="20"/>
        </w:rPr>
        <w:t>The local model is the least reliable component. It is used for generation only, never for arithmetic, and the pipeline is the recommended engine wherever it can be hosted.</w:t>
      </w:r>
    </w:p>
    <w:p>
      <w:pPr>
        <w:pStyle w:val="ListBullet"/>
        <w:spacing w:after="60"/>
      </w:pPr>
      <w:r>
        <w:rPr>
          <w:sz w:val="20"/>
        </w:rPr>
        <w:t>Evaluation set defects found and disclosed: two duplicated question-and-context pairs, and two abstention controls mislabelled answerable. The set is not rebuilt after freezing.</w:t>
      </w:r>
    </w:p>
    <w:p>
      <w:pPr>
        <w:pStyle w:val="Heading1"/>
      </w:pPr>
      <w:r>
        <w:t>13. Glossary</w:t>
      </w:r>
    </w:p>
    <w:tbl>
      <w:tblPr>
        <w:tblStyle w:val="TableGrid"/>
        <w:tblW w:type="auto" w:w="0"/>
        <w:jc w:val="center"/>
        <w:tblLook w:firstColumn="1" w:firstRow="1" w:lastColumn="0" w:lastRow="0" w:noHBand="0" w:noVBand="1" w:val="04A0"/>
      </w:tblPr>
      <w:tblGrid>
        <w:gridCol w:w="4896"/>
        <w:gridCol w:w="4896"/>
      </w:tblGrid>
      <w:tr>
        <w:tc>
          <w:tcPr>
            <w:tcW w:type="dxa" w:w="2448"/>
            <w:shd w:val="clear" w:fill="E8EDF5"/>
          </w:tcPr>
          <w:p>
            <w:r/>
            <w:r>
              <w:rPr>
                <w:b/>
                <w:color w:val="111827"/>
                <w:sz w:val="18"/>
              </w:rPr>
              <w:t>Term</w:t>
            </w:r>
          </w:p>
        </w:tc>
        <w:tc>
          <w:tcPr>
            <w:tcW w:type="dxa" w:w="7056"/>
            <w:shd w:val="clear" w:fill="E8EDF5"/>
          </w:tcPr>
          <w:p>
            <w:r/>
            <w:r>
              <w:rPr>
                <w:b/>
                <w:color w:val="111827"/>
                <w:sz w:val="18"/>
              </w:rPr>
              <w:t>Definition</w:t>
            </w:r>
          </w:p>
        </w:tc>
      </w:tr>
      <w:tr>
        <w:tc>
          <w:tcPr>
            <w:tcW w:type="dxa" w:w="2448"/>
          </w:tcPr>
          <w:p>
            <w:r/>
            <w:r>
              <w:rPr>
                <w:sz w:val="18"/>
              </w:rPr>
              <w:t>Abstention</w:t>
            </w:r>
          </w:p>
        </w:tc>
        <w:tc>
          <w:tcPr>
            <w:tcW w:type="dxa" w:w="7056"/>
          </w:tcPr>
          <w:p>
            <w:r/>
            <w:r>
              <w:rPr>
                <w:sz w:val="18"/>
              </w:rPr>
              <w:t>An explicit refusal to answer, returned when the source does not support an answer. A correct outcome, not a failure.</w:t>
            </w:r>
          </w:p>
        </w:tc>
      </w:tr>
      <w:tr>
        <w:tc>
          <w:tcPr>
            <w:tcW w:type="dxa" w:w="2448"/>
          </w:tcPr>
          <w:p>
            <w:r/>
            <w:r>
              <w:rPr>
                <w:sz w:val="18"/>
              </w:rPr>
              <w:t>Source span</w:t>
            </w:r>
          </w:p>
        </w:tc>
        <w:tc>
          <w:tcPr>
            <w:tcW w:type="dxa" w:w="7056"/>
          </w:tcPr>
          <w:p>
            <w:r/>
            <w:r>
              <w:rPr>
                <w:sz w:val="18"/>
              </w:rPr>
              <w:t>The exact passage of document text a value was copied from, validated to appear in the context supplied.</w:t>
            </w:r>
          </w:p>
        </w:tc>
      </w:tr>
      <w:tr>
        <w:tc>
          <w:tcPr>
            <w:tcW w:type="dxa" w:w="2448"/>
          </w:tcPr>
          <w:p>
            <w:r/>
            <w:r>
              <w:rPr>
                <w:sz w:val="18"/>
              </w:rPr>
              <w:t>Grounding</w:t>
            </w:r>
          </w:p>
        </w:tc>
        <w:tc>
          <w:tcPr>
            <w:tcW w:type="dxa" w:w="7056"/>
          </w:tcPr>
          <w:p>
            <w:r/>
            <w:r>
              <w:rPr>
                <w:sz w:val="18"/>
              </w:rPr>
              <w:t>Binding every stated figure to the document text that supports it.</w:t>
            </w:r>
          </w:p>
        </w:tc>
      </w:tr>
      <w:tr>
        <w:tc>
          <w:tcPr>
            <w:tcW w:type="dxa" w:w="2448"/>
          </w:tcPr>
          <w:p>
            <w:r/>
            <w:r>
              <w:rPr>
                <w:sz w:val="18"/>
              </w:rPr>
              <w:t>Workspace scope</w:t>
            </w:r>
          </w:p>
        </w:tc>
        <w:tc>
          <w:tcPr>
            <w:tcW w:type="dxa" w:w="7056"/>
          </w:tcPr>
          <w:p>
            <w:r/>
            <w:r>
              <w:rPr>
                <w:sz w:val="18"/>
              </w:rPr>
              <w:t>The rule that a document may only answer questions about the company it belongs to.</w:t>
            </w:r>
          </w:p>
        </w:tc>
      </w:tr>
      <w:tr>
        <w:tc>
          <w:tcPr>
            <w:tcW w:type="dxa" w:w="2448"/>
          </w:tcPr>
          <w:p>
            <w:r/>
            <w:r>
              <w:rPr>
                <w:sz w:val="18"/>
              </w:rPr>
              <w:t>Operand resolution</w:t>
            </w:r>
          </w:p>
        </w:tc>
        <w:tc>
          <w:tcPr>
            <w:tcW w:type="dxa" w:w="7056"/>
          </w:tcPr>
          <w:p>
            <w:r/>
            <w:r>
              <w:rPr>
                <w:sz w:val="18"/>
              </w:rPr>
              <w:t>Mapping a formula's operand to the caption the statement actually uses, in code, before the model is asked.</w:t>
            </w:r>
          </w:p>
        </w:tc>
      </w:tr>
      <w:tr>
        <w:tc>
          <w:tcPr>
            <w:tcW w:type="dxa" w:w="2448"/>
          </w:tcPr>
          <w:p>
            <w:r/>
            <w:r>
              <w:rPr>
                <w:sz w:val="18"/>
              </w:rPr>
              <w:t>Frozen evaluation set</w:t>
            </w:r>
          </w:p>
        </w:tc>
        <w:tc>
          <w:tcPr>
            <w:tcW w:type="dxa" w:w="7056"/>
          </w:tcPr>
          <w:p>
            <w:r/>
            <w:r>
              <w:rPr>
                <w:sz w:val="18"/>
              </w:rPr>
              <w:t>313 held-out items, never trained on and never used for selection, scored once per configuration.</w:t>
            </w:r>
          </w:p>
        </w:tc>
      </w:tr>
      <w:tr>
        <w:tc>
          <w:tcPr>
            <w:tcW w:type="dxa" w:w="2448"/>
          </w:tcPr>
          <w:p>
            <w:r/>
            <w:r>
              <w:rPr>
                <w:sz w:val="18"/>
              </w:rPr>
              <w:t>Selection split</w:t>
            </w:r>
          </w:p>
        </w:tc>
        <w:tc>
          <w:tcPr>
            <w:tcW w:type="dxa" w:w="7056"/>
          </w:tcPr>
          <w:p>
            <w:r/>
            <w:r>
              <w:rPr>
                <w:sz w:val="18"/>
              </w:rPr>
              <w:t>61 items used to choose a configuration; never reported as a result.</w:t>
            </w:r>
          </w:p>
        </w:tc>
      </w:tr>
      <w:tr>
        <w:tc>
          <w:tcPr>
            <w:tcW w:type="dxa" w:w="2448"/>
          </w:tcPr>
          <w:p>
            <w:r/>
            <w:r>
              <w:rPr>
                <w:sz w:val="18"/>
              </w:rPr>
              <w:t>Capability gate</w:t>
            </w:r>
          </w:p>
        </w:tc>
        <w:tc>
          <w:tcPr>
            <w:tcW w:type="dxa" w:w="7056"/>
          </w:tcPr>
          <w:p>
            <w:r/>
            <w:r>
              <w:rPr>
                <w:sz w:val="18"/>
              </w:rPr>
              <w:t>One of copy, extraction, wording, calculation and abstention - measured separately so an average cannot hide a failure.</w:t>
            </w:r>
          </w:p>
        </w:tc>
      </w:tr>
      <w:tr>
        <w:tc>
          <w:tcPr>
            <w:tcW w:type="dxa" w:w="2448"/>
          </w:tcPr>
          <w:p>
            <w:r/>
            <w:r>
              <w:rPr>
                <w:sz w:val="18"/>
              </w:rPr>
              <w:t>McNemar test</w:t>
            </w:r>
          </w:p>
        </w:tc>
        <w:tc>
          <w:tcPr>
            <w:tcW w:type="dxa" w:w="7056"/>
          </w:tcPr>
          <w:p>
            <w:r/>
            <w:r>
              <w:rPr>
                <w:sz w:val="18"/>
              </w:rPr>
              <w:t>An exact paired significance test used when two systems are measured on identical items.</w:t>
            </w:r>
          </w:p>
        </w:tc>
      </w:tr>
      <w:tr>
        <w:tc>
          <w:tcPr>
            <w:tcW w:type="dxa" w:w="2448"/>
          </w:tcPr>
          <w:p>
            <w:r/>
            <w:r>
              <w:rPr>
                <w:sz w:val="18"/>
              </w:rPr>
              <w:t>Over-refusal</w:t>
            </w:r>
          </w:p>
        </w:tc>
        <w:tc>
          <w:tcPr>
            <w:tcW w:type="dxa" w:w="7056"/>
          </w:tcPr>
          <w:p>
            <w:r/>
            <w:r>
              <w:rPr>
                <w:sz w:val="18"/>
              </w:rPr>
              <w:t>Refusing a question that the source does in fact answer. Tracked separately, because abstention accuracy alone would reward a system that refuses everything.</w:t>
            </w:r>
          </w:p>
        </w:tc>
      </w:tr>
      <w:tr>
        <w:tc>
          <w:tcPr>
            <w:tcW w:type="dxa" w:w="2448"/>
          </w:tcPr>
          <w:p>
            <w:r/>
            <w:r>
              <w:rPr>
                <w:sz w:val="18"/>
              </w:rPr>
              <w:t>Invented value</w:t>
            </w:r>
          </w:p>
        </w:tc>
        <w:tc>
          <w:tcPr>
            <w:tcW w:type="dxa" w:w="7056"/>
          </w:tcPr>
          <w:p>
            <w:r/>
            <w:r>
              <w:rPr>
                <w:sz w:val="18"/>
              </w:rPr>
              <w:t>A number presented to the user that does not appear in the source. The metric the architecture exists to drive to zero.</w:t>
            </w:r>
          </w:p>
        </w:tc>
      </w:tr>
      <w:tr>
        <w:tc>
          <w:tcPr>
            <w:tcW w:type="dxa" w:w="2448"/>
          </w:tcPr>
          <w:p>
            <w:r/>
            <w:r>
              <w:rPr>
                <w:sz w:val="18"/>
              </w:rPr>
              <w:t>MoE</w:t>
            </w:r>
          </w:p>
        </w:tc>
        <w:tc>
          <w:tcPr>
            <w:tcW w:type="dxa" w:w="7056"/>
          </w:tcPr>
          <w:p>
            <w:r/>
            <w:r>
              <w:rPr>
                <w:sz w:val="18"/>
              </w:rPr>
              <w:t>Mixture of Experts - 8 experts with top-2 routing in this model.</w:t>
            </w:r>
          </w:p>
        </w:tc>
      </w:tr>
      <w:tr>
        <w:tc>
          <w:tcPr>
            <w:tcW w:type="dxa" w:w="2448"/>
          </w:tcPr>
          <w:p>
            <w:r/>
            <w:r>
              <w:rPr>
                <w:sz w:val="18"/>
              </w:rPr>
              <w:t>MLA</w:t>
            </w:r>
          </w:p>
        </w:tc>
        <w:tc>
          <w:tcPr>
            <w:tcW w:type="dxa" w:w="7056"/>
          </w:tcPr>
          <w:p>
            <w:r/>
            <w:r>
              <w:rPr>
                <w:sz w:val="18"/>
              </w:rPr>
              <w:t>Multi-head Latent Attention - compresses the key/value cache through a low-rank projection.</w:t>
            </w:r>
          </w:p>
        </w:tc>
      </w:tr>
      <w:tr>
        <w:tc>
          <w:tcPr>
            <w:tcW w:type="dxa" w:w="2448"/>
          </w:tcPr>
          <w:p>
            <w:r/>
            <w:r>
              <w:rPr>
                <w:sz w:val="18"/>
              </w:rPr>
              <w:t>MTP</w:t>
            </w:r>
          </w:p>
        </w:tc>
        <w:tc>
          <w:tcPr>
            <w:tcW w:type="dxa" w:w="7056"/>
          </w:tcPr>
          <w:p>
            <w:r/>
            <w:r>
              <w:rPr>
                <w:sz w:val="18"/>
              </w:rPr>
              <w:t>Multi-Token Prediction - an auxiliary objective predicting more than one future token.</w:t>
            </w:r>
          </w:p>
        </w:tc>
      </w:tr>
    </w:tbl>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