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91450" cy="107130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437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21399" cy="1197484"/>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04">
      <w:pPr>
        <w:tabs>
          <w:tab w:val="center" w:leader="none" w:pos="4513"/>
          <w:tab w:val="right" w:leader="none" w:pos="9026"/>
        </w:tabs>
        <w:rPr>
          <w:sz w:val="18"/>
          <w:szCs w:val="18"/>
        </w:rPr>
      </w:pPr>
      <w:r w:rsidDel="00000000" w:rsidR="00000000" w:rsidRPr="00000000">
        <w:rPr>
          <w:color w:val="565652"/>
          <w:sz w:val="18"/>
          <w:szCs w:val="18"/>
          <w:rtl w:val="0"/>
        </w:rPr>
        <w:t xml:space="preserve">Post Office Box </w:t>
      </w:r>
      <w:r w:rsidDel="00000000" w:rsidR="00000000" w:rsidRPr="00000000">
        <w:rPr>
          <w:color w:val="6b6960"/>
          <w:sz w:val="18"/>
          <w:szCs w:val="18"/>
          <w:rtl w:val="0"/>
        </w:rPr>
        <w:t xml:space="preserve">GP 1115, </w:t>
      </w:r>
      <w:r w:rsidDel="00000000" w:rsidR="00000000" w:rsidRPr="00000000">
        <w:rPr>
          <w:color w:val="565652"/>
          <w:sz w:val="18"/>
          <w:szCs w:val="18"/>
          <w:rtl w:val="0"/>
        </w:rPr>
        <w:t xml:space="preserve">Accra, Ghana Tel: (+233 302) 712775 /712343 /718225. Fax: (+233 302) 712047</w:t>
      </w:r>
      <w:r w:rsidDel="00000000" w:rsidR="00000000" w:rsidRPr="00000000">
        <w:rPr>
          <w:color w:val="7c7e72"/>
          <w:sz w:val="18"/>
          <w:szCs w:val="18"/>
          <w:rtl w:val="0"/>
        </w:rPr>
        <w:t xml:space="preserve">. </w:t>
      </w:r>
      <w:r w:rsidDel="00000000" w:rsidR="00000000" w:rsidRPr="00000000">
        <w:rPr>
          <w:color w:val="565652"/>
          <w:sz w:val="18"/>
          <w:szCs w:val="18"/>
          <w:rtl w:val="0"/>
        </w:rPr>
        <w:t xml:space="preserve">Registrar Tel/Fax</w:t>
      </w:r>
      <w:r w:rsidDel="00000000" w:rsidR="00000000" w:rsidRPr="00000000">
        <w:rPr>
          <w:color w:val="7c7e72"/>
          <w:sz w:val="18"/>
          <w:szCs w:val="18"/>
          <w:rtl w:val="0"/>
        </w:rPr>
        <w:t xml:space="preserve">: </w:t>
      </w:r>
      <w:r w:rsidDel="00000000" w:rsidR="00000000" w:rsidRPr="00000000">
        <w:rPr>
          <w:color w:val="6b6960"/>
          <w:sz w:val="18"/>
          <w:szCs w:val="18"/>
          <w:rtl w:val="0"/>
        </w:rPr>
        <w:t xml:space="preserve">(+233 302) 714070</w:t>
      </w:r>
      <w:r w:rsidDel="00000000" w:rsidR="00000000" w:rsidRPr="00000000">
        <w:rPr>
          <w:rtl w:val="0"/>
        </w:rPr>
      </w:r>
    </w:p>
    <w:p w:rsidR="00000000" w:rsidDel="00000000" w:rsidP="00000000" w:rsidRDefault="00000000" w:rsidRPr="00000000" w14:paraId="00000005">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Francis Osei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Kumasi - Ashanti Region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Ae-1348-4093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NAUTICAL SCIENCE [2023-2024]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Nautical Science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10" w:type="default"/>
      <w:footerReference r:id="rId11"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egistrar@rmu.edu.g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kaRxVsbWFZLXvDDGE3oD0UV/Q==">CgMxLjAyCGguZ2pkZ3hzOAByITFjV1NPYmduYzR2SVQwenpTMk1JcUNNTkpTSG10NGtRWQ==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