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Dickson Korletey Tachie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Ada-foah - Ada-foah, Greater Region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 O. Box 36, Ada-foah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NAUTICAL SCIENCE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Nautical Science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