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82" w:rsidRPr="005648D9" w:rsidRDefault="00031B62" w:rsidP="005648D9">
      <w:pPr>
        <w:pStyle w:val="Titre1"/>
      </w:pPr>
      <w:bookmarkStart w:id="0" w:name="_Toc149571905"/>
      <w:r w:rsidRPr="005648D9">
        <w:t xml:space="preserve">Guide d’utilisation du module </w:t>
      </w:r>
      <w:proofErr w:type="spellStart"/>
      <w:r w:rsidRPr="005648D9">
        <w:t>L</w:t>
      </w:r>
      <w:r w:rsidR="00843BD5">
        <w:t>abs</w:t>
      </w:r>
      <w:proofErr w:type="spellEnd"/>
      <w:r w:rsidRPr="005648D9">
        <w:t xml:space="preserve"> de </w:t>
      </w:r>
      <w:proofErr w:type="spellStart"/>
      <w:r w:rsidRPr="005648D9">
        <w:t>TrialMaster</w:t>
      </w:r>
      <w:bookmarkEnd w:id="0"/>
      <w:proofErr w:type="spellEnd"/>
    </w:p>
    <w:p w:rsidR="003D1598" w:rsidRDefault="003D1598" w:rsidP="003D159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012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333D" w:rsidRPr="0019333D" w:rsidRDefault="0019333D" w:rsidP="005648D9">
          <w:pPr>
            <w:pStyle w:val="En-ttedetabledesmatires"/>
          </w:pPr>
          <w:r w:rsidRPr="0019333D">
            <w:t>Table des matières</w:t>
          </w:r>
        </w:p>
        <w:p w:rsidR="00F90431" w:rsidRDefault="001933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71905" w:history="1">
            <w:r w:rsidR="00F90431" w:rsidRPr="00A17067">
              <w:rPr>
                <w:rStyle w:val="Lienhypertexte"/>
                <w:noProof/>
              </w:rPr>
              <w:t>Guide d’utilisation du module Labs de TrialMaster</w:t>
            </w:r>
            <w:r w:rsidR="00F90431">
              <w:rPr>
                <w:noProof/>
                <w:webHidden/>
              </w:rPr>
              <w:tab/>
            </w:r>
            <w:r w:rsidR="00F90431">
              <w:rPr>
                <w:noProof/>
                <w:webHidden/>
              </w:rPr>
              <w:fldChar w:fldCharType="begin"/>
            </w:r>
            <w:r w:rsidR="00F90431">
              <w:rPr>
                <w:noProof/>
                <w:webHidden/>
              </w:rPr>
              <w:instrText xml:space="preserve"> PAGEREF _Toc149571905 \h </w:instrText>
            </w:r>
            <w:r w:rsidR="00F90431">
              <w:rPr>
                <w:noProof/>
                <w:webHidden/>
              </w:rPr>
            </w:r>
            <w:r w:rsidR="00F90431">
              <w:rPr>
                <w:noProof/>
                <w:webHidden/>
              </w:rPr>
              <w:fldChar w:fldCharType="separate"/>
            </w:r>
            <w:r w:rsidR="00F90431">
              <w:rPr>
                <w:noProof/>
                <w:webHidden/>
              </w:rPr>
              <w:t>1</w:t>
            </w:r>
            <w:r w:rsidR="00F90431">
              <w:rPr>
                <w:noProof/>
                <w:webHidden/>
              </w:rPr>
              <w:fldChar w:fldCharType="end"/>
            </w:r>
          </w:hyperlink>
        </w:p>
        <w:p w:rsidR="00F90431" w:rsidRDefault="00A9405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571906" w:history="1">
            <w:r w:rsidR="00F90431" w:rsidRPr="00A17067">
              <w:rPr>
                <w:rStyle w:val="Lienhypertexte"/>
                <w:noProof/>
              </w:rPr>
              <w:t>1.</w:t>
            </w:r>
            <w:r w:rsidR="00F90431">
              <w:rPr>
                <w:rFonts w:eastAsiaTheme="minorEastAsia"/>
                <w:noProof/>
                <w:lang w:eastAsia="fr-FR"/>
              </w:rPr>
              <w:tab/>
            </w:r>
            <w:r w:rsidR="00F90431" w:rsidRPr="00A17067">
              <w:rPr>
                <w:rStyle w:val="Lienhypertexte"/>
                <w:noProof/>
              </w:rPr>
              <w:t>Installation et configuration sur TrialBuilder</w:t>
            </w:r>
            <w:r w:rsidR="00F90431">
              <w:rPr>
                <w:noProof/>
                <w:webHidden/>
              </w:rPr>
              <w:tab/>
            </w:r>
            <w:r w:rsidR="00F90431">
              <w:rPr>
                <w:noProof/>
                <w:webHidden/>
              </w:rPr>
              <w:fldChar w:fldCharType="begin"/>
            </w:r>
            <w:r w:rsidR="00F90431">
              <w:rPr>
                <w:noProof/>
                <w:webHidden/>
              </w:rPr>
              <w:instrText xml:space="preserve"> PAGEREF _Toc149571906 \h </w:instrText>
            </w:r>
            <w:r w:rsidR="00F90431">
              <w:rPr>
                <w:noProof/>
                <w:webHidden/>
              </w:rPr>
            </w:r>
            <w:r w:rsidR="00F90431">
              <w:rPr>
                <w:noProof/>
                <w:webHidden/>
              </w:rPr>
              <w:fldChar w:fldCharType="separate"/>
            </w:r>
            <w:r w:rsidR="00F90431">
              <w:rPr>
                <w:noProof/>
                <w:webHidden/>
              </w:rPr>
              <w:t>2</w:t>
            </w:r>
            <w:r w:rsidR="00F90431">
              <w:rPr>
                <w:noProof/>
                <w:webHidden/>
              </w:rPr>
              <w:fldChar w:fldCharType="end"/>
            </w:r>
          </w:hyperlink>
        </w:p>
        <w:p w:rsidR="00F90431" w:rsidRDefault="00A9405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571907" w:history="1">
            <w:r w:rsidR="00F90431" w:rsidRPr="00A17067">
              <w:rPr>
                <w:rStyle w:val="Lienhypertexte"/>
                <w:rFonts w:ascii="Symbol" w:hAnsi="Symbol"/>
                <w:noProof/>
              </w:rPr>
              <w:t></w:t>
            </w:r>
            <w:r w:rsidR="00F90431">
              <w:rPr>
                <w:rFonts w:eastAsiaTheme="minorEastAsia"/>
                <w:noProof/>
                <w:lang w:eastAsia="fr-FR"/>
              </w:rPr>
              <w:tab/>
            </w:r>
            <w:r w:rsidR="00F90431" w:rsidRPr="00A17067">
              <w:rPr>
                <w:rStyle w:val="Lienhypertexte"/>
                <w:noProof/>
              </w:rPr>
              <w:t>Importer le fichier .xml du modèle de fiche laboratoire sur TrialBuilder.</w:t>
            </w:r>
            <w:r w:rsidR="00F90431">
              <w:rPr>
                <w:noProof/>
                <w:webHidden/>
              </w:rPr>
              <w:tab/>
            </w:r>
            <w:r w:rsidR="00F90431">
              <w:rPr>
                <w:noProof/>
                <w:webHidden/>
              </w:rPr>
              <w:fldChar w:fldCharType="begin"/>
            </w:r>
            <w:r w:rsidR="00F90431">
              <w:rPr>
                <w:noProof/>
                <w:webHidden/>
              </w:rPr>
              <w:instrText xml:space="preserve"> PAGEREF _Toc149571907 \h </w:instrText>
            </w:r>
            <w:r w:rsidR="00F90431">
              <w:rPr>
                <w:noProof/>
                <w:webHidden/>
              </w:rPr>
            </w:r>
            <w:r w:rsidR="00F90431">
              <w:rPr>
                <w:noProof/>
                <w:webHidden/>
              </w:rPr>
              <w:fldChar w:fldCharType="separate"/>
            </w:r>
            <w:r w:rsidR="00F90431">
              <w:rPr>
                <w:noProof/>
                <w:webHidden/>
              </w:rPr>
              <w:t>2</w:t>
            </w:r>
            <w:r w:rsidR="00F90431">
              <w:rPr>
                <w:noProof/>
                <w:webHidden/>
              </w:rPr>
              <w:fldChar w:fldCharType="end"/>
            </w:r>
          </w:hyperlink>
        </w:p>
        <w:p w:rsidR="00F90431" w:rsidRDefault="00A9405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571908" w:history="1">
            <w:r w:rsidR="00F90431" w:rsidRPr="00A17067">
              <w:rPr>
                <w:rStyle w:val="Lienhypertexte"/>
                <w:rFonts w:ascii="Symbol" w:hAnsi="Symbol"/>
                <w:noProof/>
              </w:rPr>
              <w:t></w:t>
            </w:r>
            <w:r w:rsidR="00F90431">
              <w:rPr>
                <w:rFonts w:eastAsiaTheme="minorEastAsia"/>
                <w:noProof/>
                <w:lang w:eastAsia="fr-FR"/>
              </w:rPr>
              <w:tab/>
            </w:r>
            <w:r w:rsidR="00F90431" w:rsidRPr="00A17067">
              <w:rPr>
                <w:rStyle w:val="Lienhypertexte"/>
                <w:noProof/>
              </w:rPr>
              <w:t>Configurer la fiche Labs sur Builder</w:t>
            </w:r>
            <w:r w:rsidR="00F90431">
              <w:rPr>
                <w:noProof/>
                <w:webHidden/>
              </w:rPr>
              <w:tab/>
            </w:r>
            <w:r w:rsidR="00F90431">
              <w:rPr>
                <w:noProof/>
                <w:webHidden/>
              </w:rPr>
              <w:fldChar w:fldCharType="begin"/>
            </w:r>
            <w:r w:rsidR="00F90431">
              <w:rPr>
                <w:noProof/>
                <w:webHidden/>
              </w:rPr>
              <w:instrText xml:space="preserve"> PAGEREF _Toc149571908 \h </w:instrText>
            </w:r>
            <w:r w:rsidR="00F90431">
              <w:rPr>
                <w:noProof/>
                <w:webHidden/>
              </w:rPr>
            </w:r>
            <w:r w:rsidR="00F90431">
              <w:rPr>
                <w:noProof/>
                <w:webHidden/>
              </w:rPr>
              <w:fldChar w:fldCharType="separate"/>
            </w:r>
            <w:r w:rsidR="00F90431">
              <w:rPr>
                <w:noProof/>
                <w:webHidden/>
              </w:rPr>
              <w:t>3</w:t>
            </w:r>
            <w:r w:rsidR="00F90431">
              <w:rPr>
                <w:noProof/>
                <w:webHidden/>
              </w:rPr>
              <w:fldChar w:fldCharType="end"/>
            </w:r>
          </w:hyperlink>
        </w:p>
        <w:p w:rsidR="00F90431" w:rsidRDefault="00A9405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571909" w:history="1">
            <w:r w:rsidR="00F90431" w:rsidRPr="00A17067">
              <w:rPr>
                <w:rStyle w:val="Lienhypertexte"/>
                <w:rFonts w:ascii="Symbol" w:hAnsi="Symbol"/>
                <w:noProof/>
              </w:rPr>
              <w:t></w:t>
            </w:r>
            <w:r w:rsidR="00F90431">
              <w:rPr>
                <w:rFonts w:eastAsiaTheme="minorEastAsia"/>
                <w:noProof/>
                <w:lang w:eastAsia="fr-FR"/>
              </w:rPr>
              <w:tab/>
            </w:r>
            <w:r w:rsidR="00F90431" w:rsidRPr="00A17067">
              <w:rPr>
                <w:rStyle w:val="Lienhypertexte"/>
                <w:noProof/>
              </w:rPr>
              <w:t>Configurer les unités Laboratoires du Builder</w:t>
            </w:r>
            <w:r w:rsidR="00F90431">
              <w:rPr>
                <w:noProof/>
                <w:webHidden/>
              </w:rPr>
              <w:tab/>
            </w:r>
            <w:r w:rsidR="00F90431">
              <w:rPr>
                <w:noProof/>
                <w:webHidden/>
              </w:rPr>
              <w:fldChar w:fldCharType="begin"/>
            </w:r>
            <w:r w:rsidR="00F90431">
              <w:rPr>
                <w:noProof/>
                <w:webHidden/>
              </w:rPr>
              <w:instrText xml:space="preserve"> PAGEREF _Toc149571909 \h </w:instrText>
            </w:r>
            <w:r w:rsidR="00F90431">
              <w:rPr>
                <w:noProof/>
                <w:webHidden/>
              </w:rPr>
            </w:r>
            <w:r w:rsidR="00F90431">
              <w:rPr>
                <w:noProof/>
                <w:webHidden/>
              </w:rPr>
              <w:fldChar w:fldCharType="separate"/>
            </w:r>
            <w:r w:rsidR="00F90431">
              <w:rPr>
                <w:noProof/>
                <w:webHidden/>
              </w:rPr>
              <w:t>4</w:t>
            </w:r>
            <w:r w:rsidR="00F90431">
              <w:rPr>
                <w:noProof/>
                <w:webHidden/>
              </w:rPr>
              <w:fldChar w:fldCharType="end"/>
            </w:r>
          </w:hyperlink>
        </w:p>
        <w:p w:rsidR="00F90431" w:rsidRDefault="00A9405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571910" w:history="1">
            <w:r w:rsidR="00F90431" w:rsidRPr="00A17067">
              <w:rPr>
                <w:rStyle w:val="Lienhypertexte"/>
                <w:rFonts w:ascii="Symbol" w:hAnsi="Symbol"/>
                <w:noProof/>
              </w:rPr>
              <w:t></w:t>
            </w:r>
            <w:r w:rsidR="00F90431">
              <w:rPr>
                <w:rFonts w:eastAsiaTheme="minorEastAsia"/>
                <w:noProof/>
                <w:lang w:eastAsia="fr-FR"/>
              </w:rPr>
              <w:tab/>
            </w:r>
            <w:r w:rsidR="00F90431" w:rsidRPr="00A17067">
              <w:rPr>
                <w:rStyle w:val="Lienhypertexte"/>
                <w:noProof/>
              </w:rPr>
              <w:t>Listing des tests de laboratoire</w:t>
            </w:r>
            <w:r w:rsidR="00F90431">
              <w:rPr>
                <w:noProof/>
                <w:webHidden/>
              </w:rPr>
              <w:tab/>
            </w:r>
            <w:r w:rsidR="00F90431">
              <w:rPr>
                <w:noProof/>
                <w:webHidden/>
              </w:rPr>
              <w:fldChar w:fldCharType="begin"/>
            </w:r>
            <w:r w:rsidR="00F90431">
              <w:rPr>
                <w:noProof/>
                <w:webHidden/>
              </w:rPr>
              <w:instrText xml:space="preserve"> PAGEREF _Toc149571910 \h </w:instrText>
            </w:r>
            <w:r w:rsidR="00F90431">
              <w:rPr>
                <w:noProof/>
                <w:webHidden/>
              </w:rPr>
            </w:r>
            <w:r w:rsidR="00F90431">
              <w:rPr>
                <w:noProof/>
                <w:webHidden/>
              </w:rPr>
              <w:fldChar w:fldCharType="separate"/>
            </w:r>
            <w:r w:rsidR="00F90431">
              <w:rPr>
                <w:noProof/>
                <w:webHidden/>
              </w:rPr>
              <w:t>7</w:t>
            </w:r>
            <w:r w:rsidR="00F90431">
              <w:rPr>
                <w:noProof/>
                <w:webHidden/>
              </w:rPr>
              <w:fldChar w:fldCharType="end"/>
            </w:r>
          </w:hyperlink>
        </w:p>
        <w:p w:rsidR="00F90431" w:rsidRDefault="00A9405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571911" w:history="1">
            <w:r w:rsidR="00F90431" w:rsidRPr="00A17067">
              <w:rPr>
                <w:rStyle w:val="Lienhypertexte"/>
                <w:noProof/>
              </w:rPr>
              <w:t>2.</w:t>
            </w:r>
            <w:r w:rsidR="00F90431">
              <w:rPr>
                <w:rFonts w:eastAsiaTheme="minorEastAsia"/>
                <w:noProof/>
                <w:lang w:eastAsia="fr-FR"/>
              </w:rPr>
              <w:tab/>
            </w:r>
            <w:r w:rsidR="00F90431" w:rsidRPr="00A17067">
              <w:rPr>
                <w:rStyle w:val="Lienhypertexte"/>
                <w:noProof/>
              </w:rPr>
              <w:t>Configuration sur TrialMaster</w:t>
            </w:r>
            <w:r w:rsidR="00F90431">
              <w:rPr>
                <w:noProof/>
                <w:webHidden/>
              </w:rPr>
              <w:tab/>
            </w:r>
            <w:r w:rsidR="00F90431">
              <w:rPr>
                <w:noProof/>
                <w:webHidden/>
              </w:rPr>
              <w:fldChar w:fldCharType="begin"/>
            </w:r>
            <w:r w:rsidR="00F90431">
              <w:rPr>
                <w:noProof/>
                <w:webHidden/>
              </w:rPr>
              <w:instrText xml:space="preserve"> PAGEREF _Toc149571911 \h </w:instrText>
            </w:r>
            <w:r w:rsidR="00F90431">
              <w:rPr>
                <w:noProof/>
                <w:webHidden/>
              </w:rPr>
            </w:r>
            <w:r w:rsidR="00F90431">
              <w:rPr>
                <w:noProof/>
                <w:webHidden/>
              </w:rPr>
              <w:fldChar w:fldCharType="separate"/>
            </w:r>
            <w:r w:rsidR="00F90431">
              <w:rPr>
                <w:noProof/>
                <w:webHidden/>
              </w:rPr>
              <w:t>9</w:t>
            </w:r>
            <w:r w:rsidR="00F90431">
              <w:rPr>
                <w:noProof/>
                <w:webHidden/>
              </w:rPr>
              <w:fldChar w:fldCharType="end"/>
            </w:r>
          </w:hyperlink>
        </w:p>
        <w:p w:rsidR="00F90431" w:rsidRDefault="00A9405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571912" w:history="1">
            <w:r w:rsidR="00F90431" w:rsidRPr="00A17067">
              <w:rPr>
                <w:rStyle w:val="Lienhypertexte"/>
                <w:rFonts w:ascii="Symbol" w:hAnsi="Symbol"/>
                <w:noProof/>
              </w:rPr>
              <w:t></w:t>
            </w:r>
            <w:r w:rsidR="00F90431">
              <w:rPr>
                <w:rFonts w:eastAsiaTheme="minorEastAsia"/>
                <w:noProof/>
                <w:lang w:eastAsia="fr-FR"/>
              </w:rPr>
              <w:tab/>
            </w:r>
            <w:r w:rsidR="00F90431" w:rsidRPr="00A17067">
              <w:rPr>
                <w:rStyle w:val="Lienhypertexte"/>
                <w:noProof/>
              </w:rPr>
              <w:t>Création des laboratoires</w:t>
            </w:r>
            <w:r w:rsidR="00F90431">
              <w:rPr>
                <w:noProof/>
                <w:webHidden/>
              </w:rPr>
              <w:tab/>
            </w:r>
            <w:r w:rsidR="00F90431">
              <w:rPr>
                <w:noProof/>
                <w:webHidden/>
              </w:rPr>
              <w:fldChar w:fldCharType="begin"/>
            </w:r>
            <w:r w:rsidR="00F90431">
              <w:rPr>
                <w:noProof/>
                <w:webHidden/>
              </w:rPr>
              <w:instrText xml:space="preserve"> PAGEREF _Toc149571912 \h </w:instrText>
            </w:r>
            <w:r w:rsidR="00F90431">
              <w:rPr>
                <w:noProof/>
                <w:webHidden/>
              </w:rPr>
            </w:r>
            <w:r w:rsidR="00F90431">
              <w:rPr>
                <w:noProof/>
                <w:webHidden/>
              </w:rPr>
              <w:fldChar w:fldCharType="separate"/>
            </w:r>
            <w:r w:rsidR="00F90431">
              <w:rPr>
                <w:noProof/>
                <w:webHidden/>
              </w:rPr>
              <w:t>9</w:t>
            </w:r>
            <w:r w:rsidR="00F90431">
              <w:rPr>
                <w:noProof/>
                <w:webHidden/>
              </w:rPr>
              <w:fldChar w:fldCharType="end"/>
            </w:r>
          </w:hyperlink>
        </w:p>
        <w:p w:rsidR="00F90431" w:rsidRDefault="00A9405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571913" w:history="1">
            <w:r w:rsidR="00F90431" w:rsidRPr="00A17067">
              <w:rPr>
                <w:rStyle w:val="Lienhypertexte"/>
                <w:rFonts w:ascii="Symbol" w:hAnsi="Symbol"/>
                <w:noProof/>
              </w:rPr>
              <w:t></w:t>
            </w:r>
            <w:r w:rsidR="00F90431">
              <w:rPr>
                <w:rFonts w:eastAsiaTheme="minorEastAsia"/>
                <w:noProof/>
                <w:lang w:eastAsia="fr-FR"/>
              </w:rPr>
              <w:tab/>
            </w:r>
            <w:r w:rsidR="00F90431" w:rsidRPr="00A17067">
              <w:rPr>
                <w:rStyle w:val="Lienhypertexte"/>
                <w:noProof/>
              </w:rPr>
              <w:t>Création des ranges pour un laboratoire</w:t>
            </w:r>
            <w:r w:rsidR="00F90431">
              <w:rPr>
                <w:noProof/>
                <w:webHidden/>
              </w:rPr>
              <w:tab/>
            </w:r>
            <w:r w:rsidR="00F90431">
              <w:rPr>
                <w:noProof/>
                <w:webHidden/>
              </w:rPr>
              <w:fldChar w:fldCharType="begin"/>
            </w:r>
            <w:r w:rsidR="00F90431">
              <w:rPr>
                <w:noProof/>
                <w:webHidden/>
              </w:rPr>
              <w:instrText xml:space="preserve"> PAGEREF _Toc149571913 \h </w:instrText>
            </w:r>
            <w:r w:rsidR="00F90431">
              <w:rPr>
                <w:noProof/>
                <w:webHidden/>
              </w:rPr>
            </w:r>
            <w:r w:rsidR="00F90431">
              <w:rPr>
                <w:noProof/>
                <w:webHidden/>
              </w:rPr>
              <w:fldChar w:fldCharType="separate"/>
            </w:r>
            <w:r w:rsidR="00F90431">
              <w:rPr>
                <w:noProof/>
                <w:webHidden/>
              </w:rPr>
              <w:t>10</w:t>
            </w:r>
            <w:r w:rsidR="00F90431">
              <w:rPr>
                <w:noProof/>
                <w:webHidden/>
              </w:rPr>
              <w:fldChar w:fldCharType="end"/>
            </w:r>
          </w:hyperlink>
        </w:p>
        <w:p w:rsidR="0019333D" w:rsidRDefault="0019333D">
          <w:r>
            <w:rPr>
              <w:b/>
              <w:bCs/>
            </w:rPr>
            <w:fldChar w:fldCharType="end"/>
          </w:r>
        </w:p>
      </w:sdtContent>
    </w:sdt>
    <w:p w:rsidR="0019333D" w:rsidRDefault="0019333D" w:rsidP="003D1598"/>
    <w:p w:rsidR="0019333D" w:rsidRDefault="0019333D" w:rsidP="003D1598"/>
    <w:p w:rsidR="0019333D" w:rsidRDefault="0019333D">
      <w:pPr>
        <w:rPr>
          <w:rFonts w:asciiTheme="majorHAnsi" w:eastAsiaTheme="majorEastAsia" w:hAnsiTheme="majorHAnsi" w:cstheme="majorBidi"/>
          <w:b/>
          <w:color w:val="222A35" w:themeColor="text2" w:themeShade="80"/>
          <w:sz w:val="28"/>
          <w:szCs w:val="26"/>
        </w:rPr>
      </w:pPr>
      <w:r>
        <w:br w:type="page"/>
      </w:r>
    </w:p>
    <w:p w:rsidR="003D1598" w:rsidRPr="0019333D" w:rsidRDefault="003D1598" w:rsidP="0019333D">
      <w:pPr>
        <w:pStyle w:val="Titre2"/>
      </w:pPr>
      <w:bookmarkStart w:id="1" w:name="_Toc149571906"/>
      <w:r w:rsidRPr="0019333D">
        <w:lastRenderedPageBreak/>
        <w:t xml:space="preserve">Installation </w:t>
      </w:r>
      <w:r w:rsidR="00DB340D">
        <w:t xml:space="preserve">et configuration </w:t>
      </w:r>
      <w:r w:rsidRPr="0019333D">
        <w:t xml:space="preserve">sur </w:t>
      </w:r>
      <w:proofErr w:type="spellStart"/>
      <w:r w:rsidRPr="0019333D">
        <w:t>TrialBuilder</w:t>
      </w:r>
      <w:bookmarkEnd w:id="1"/>
      <w:proofErr w:type="spellEnd"/>
    </w:p>
    <w:p w:rsidR="003D1598" w:rsidRDefault="003D1598" w:rsidP="003D1598"/>
    <w:p w:rsidR="00CD4B4A" w:rsidRPr="0019333D" w:rsidRDefault="00CD4B4A" w:rsidP="0019333D">
      <w:pPr>
        <w:pStyle w:val="Titre3"/>
      </w:pPr>
      <w:bookmarkStart w:id="2" w:name="_Toc149571907"/>
      <w:r w:rsidRPr="0019333D">
        <w:t xml:space="preserve">Importer le </w:t>
      </w:r>
      <w:r w:rsidR="005648D9">
        <w:t>fichier .</w:t>
      </w:r>
      <w:proofErr w:type="spellStart"/>
      <w:r w:rsidRPr="0019333D">
        <w:t>xml</w:t>
      </w:r>
      <w:proofErr w:type="spellEnd"/>
      <w:r w:rsidRPr="0019333D">
        <w:t xml:space="preserve"> du modèle de fiche laboratoire sur </w:t>
      </w:r>
      <w:proofErr w:type="spellStart"/>
      <w:r w:rsidRPr="0019333D">
        <w:t>TrialBuilder</w:t>
      </w:r>
      <w:proofErr w:type="spellEnd"/>
      <w:r w:rsidRPr="0019333D">
        <w:t>.</w:t>
      </w:r>
      <w:bookmarkEnd w:id="2"/>
    </w:p>
    <w:p w:rsidR="00CD4B4A" w:rsidRDefault="00CD4B4A" w:rsidP="00CD4B4A">
      <w:r>
        <w:t xml:space="preserve">Pour le faire directement sur le </w:t>
      </w:r>
      <w:proofErr w:type="spellStart"/>
      <w:r>
        <w:t>Builder</w:t>
      </w:r>
      <w:proofErr w:type="spellEnd"/>
      <w:r w:rsidR="005648D9">
        <w:t>,</w:t>
      </w:r>
      <w:r>
        <w:t xml:space="preserve"> </w:t>
      </w:r>
      <w:r w:rsidR="005648D9">
        <w:t>sélectionner</w:t>
      </w:r>
      <w:r>
        <w:t xml:space="preserve"> File/Import Trial</w:t>
      </w:r>
    </w:p>
    <w:p w:rsidR="00CD4B4A" w:rsidRDefault="00CD4B4A" w:rsidP="003D1598">
      <w:r>
        <w:rPr>
          <w:noProof/>
          <w:lang w:eastAsia="fr-FR"/>
        </w:rPr>
        <w:drawing>
          <wp:inline distT="0" distB="0" distL="0" distR="0">
            <wp:extent cx="4735839" cy="3849656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de_lab_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9" cy="38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4A" w:rsidRDefault="00CD4B4A" w:rsidP="003D1598">
      <w:r>
        <w:t xml:space="preserve">Sélectionner le fichier </w:t>
      </w:r>
      <w:r w:rsidR="005648D9">
        <w:t>.</w:t>
      </w:r>
      <w:proofErr w:type="spellStart"/>
      <w:r>
        <w:t>xml</w:t>
      </w:r>
      <w:proofErr w:type="spellEnd"/>
      <w:r>
        <w:t xml:space="preserve"> sans cocher l’option </w:t>
      </w:r>
      <w:proofErr w:type="spellStart"/>
      <w:r>
        <w:t>cle</w:t>
      </w:r>
      <w:r w:rsidR="005648D9">
        <w:t>ar</w:t>
      </w:r>
      <w:proofErr w:type="spellEnd"/>
      <w:r w:rsidR="005648D9">
        <w:t>.</w:t>
      </w:r>
    </w:p>
    <w:p w:rsidR="00CD4B4A" w:rsidRDefault="00CD4B4A" w:rsidP="003D1598">
      <w:r>
        <w:rPr>
          <w:noProof/>
          <w:lang w:eastAsia="fr-FR"/>
        </w:rPr>
        <w:drawing>
          <wp:inline distT="0" distB="0" distL="0" distR="0">
            <wp:extent cx="5760720" cy="33502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de_lab_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4A" w:rsidRDefault="00CD4B4A" w:rsidP="003D1598"/>
    <w:p w:rsidR="00CD4B4A" w:rsidRDefault="00AA1A5E" w:rsidP="0019333D">
      <w:pPr>
        <w:pStyle w:val="Titre3"/>
      </w:pPr>
      <w:bookmarkStart w:id="3" w:name="_Toc149571908"/>
      <w:r>
        <w:t xml:space="preserve">Configurer la fiche </w:t>
      </w:r>
      <w:proofErr w:type="spellStart"/>
      <w:r>
        <w:t>L</w:t>
      </w:r>
      <w:r w:rsidR="00843BD5">
        <w:t>abs</w:t>
      </w:r>
      <w:proofErr w:type="spellEnd"/>
      <w:r>
        <w:t xml:space="preserve"> sur </w:t>
      </w:r>
      <w:proofErr w:type="spellStart"/>
      <w:r>
        <w:t>Builder</w:t>
      </w:r>
      <w:bookmarkEnd w:id="3"/>
      <w:proofErr w:type="spellEnd"/>
    </w:p>
    <w:p w:rsidR="004A4007" w:rsidRPr="004A4007" w:rsidRDefault="004A4007" w:rsidP="004A4007"/>
    <w:p w:rsidR="00AA1A5E" w:rsidRDefault="00AA1A5E" w:rsidP="00AA1A5E">
      <w:r>
        <w:t>La fiche obtenue est comme ceci :</w:t>
      </w:r>
    </w:p>
    <w:p w:rsidR="00AA1A5E" w:rsidRDefault="00AA1A5E" w:rsidP="00AA1A5E">
      <w:r>
        <w:rPr>
          <w:noProof/>
          <w:lang w:eastAsia="fr-FR"/>
        </w:rPr>
        <w:drawing>
          <wp:inline distT="0" distB="0" distL="0" distR="0">
            <wp:extent cx="5760720" cy="3190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de_lab_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22" w:rsidRDefault="00C23D22" w:rsidP="00AA1A5E">
      <w:r>
        <w:t xml:space="preserve">Par défaut, si Test Not </w:t>
      </w:r>
      <w:proofErr w:type="spellStart"/>
      <w:r>
        <w:t>Done</w:t>
      </w:r>
      <w:proofErr w:type="spellEnd"/>
      <w:r>
        <w:t xml:space="preserve"> est coché le reste de la page est désactivé.</w:t>
      </w:r>
    </w:p>
    <w:p w:rsidR="00C23D22" w:rsidRDefault="00C23D22" w:rsidP="00AA1A5E">
      <w:r>
        <w:t xml:space="preserve">Pour chaque ligne d’examen les seules options qui seront saisissables seront « Not </w:t>
      </w:r>
      <w:proofErr w:type="spellStart"/>
      <w:r>
        <w:t>Done</w:t>
      </w:r>
      <w:proofErr w:type="spellEnd"/>
      <w:r>
        <w:t> »</w:t>
      </w:r>
      <w:r w:rsidR="00E47983">
        <w:t xml:space="preserve">, « </w:t>
      </w:r>
      <w:proofErr w:type="spellStart"/>
      <w:r w:rsidR="00E47983">
        <w:t>Result</w:t>
      </w:r>
      <w:proofErr w:type="spellEnd"/>
      <w:r>
        <w:t xml:space="preserve"> » et « Value ». Le reste sera remplie automatiquement par </w:t>
      </w:r>
      <w:proofErr w:type="spellStart"/>
      <w:r>
        <w:t>TrialMaster</w:t>
      </w:r>
      <w:proofErr w:type="spellEnd"/>
      <w:r>
        <w:t>.</w:t>
      </w:r>
    </w:p>
    <w:p w:rsidR="005C1307" w:rsidRDefault="005C1307" w:rsidP="00AA1A5E">
      <w:r>
        <w:t>« Value » n’est à saisir que si le résultat est « </w:t>
      </w:r>
      <w:proofErr w:type="spellStart"/>
      <w:r>
        <w:t>Abnomal</w:t>
      </w:r>
      <w:proofErr w:type="spellEnd"/>
      <w:r>
        <w:t xml:space="preserve"> </w:t>
      </w:r>
      <w:proofErr w:type="spellStart"/>
      <w:r>
        <w:t>clinicaly</w:t>
      </w:r>
      <w:proofErr w:type="spellEnd"/>
      <w:r>
        <w:t xml:space="preserve"> significative » mais le contrôle peut facilement être modifié si le statisticien/médecin veut tous les résultats numériques.</w:t>
      </w:r>
    </w:p>
    <w:p w:rsidR="00FA280B" w:rsidRDefault="00FA280B" w:rsidP="00AA1A5E"/>
    <w:p w:rsidR="000C4B24" w:rsidRDefault="004662D0" w:rsidP="00AA1A5E">
      <w:r>
        <w:rPr>
          <w:noProof/>
          <w:lang w:eastAsia="fr-FR"/>
        </w:rPr>
        <w:drawing>
          <wp:inline distT="0" distB="0" distL="0" distR="0">
            <wp:extent cx="352425" cy="30961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rtisement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70" cy="3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Vous pouvez modifiez si vous</w:t>
      </w:r>
      <w:r w:rsidR="001F3AE7">
        <w:t xml:space="preserve"> le</w:t>
      </w:r>
      <w:r>
        <w:t xml:space="preserve"> voulez le 1</w:t>
      </w:r>
      <w:r w:rsidRPr="004662D0">
        <w:rPr>
          <w:vertAlign w:val="superscript"/>
        </w:rPr>
        <w:t>er</w:t>
      </w:r>
      <w:r>
        <w:t xml:space="preserve"> groupe d’item pour rajouter ou retirer des </w:t>
      </w:r>
      <w:r w:rsidR="001F3AE7">
        <w:t>variables</w:t>
      </w:r>
      <w:r>
        <w:t xml:space="preserve"> mais éviter de toucher au 2</w:t>
      </w:r>
      <w:r w:rsidRPr="004662D0">
        <w:rPr>
          <w:vertAlign w:val="superscript"/>
        </w:rPr>
        <w:t>nd</w:t>
      </w:r>
      <w:r>
        <w:t xml:space="preserve"> groupe sans connaitre le pourquoi de leur présence.</w:t>
      </w:r>
    </w:p>
    <w:p w:rsidR="004662D0" w:rsidRDefault="000C4B24" w:rsidP="00AA1A5E">
      <w:r>
        <w:t xml:space="preserve">Il faut ensuite configurer le </w:t>
      </w:r>
      <w:proofErr w:type="spellStart"/>
      <w:r>
        <w:t>Form</w:t>
      </w:r>
      <w:proofErr w:type="spellEnd"/>
      <w:r>
        <w:t xml:space="preserve"> G</w:t>
      </w:r>
      <w:r w:rsidR="004662D0">
        <w:t>roup du tableau répété :</w:t>
      </w:r>
    </w:p>
    <w:p w:rsidR="00C23D22" w:rsidRDefault="004662D0" w:rsidP="00AA1A5E">
      <w:r>
        <w:rPr>
          <w:noProof/>
          <w:lang w:eastAsia="fr-FR"/>
        </w:rPr>
        <w:lastRenderedPageBreak/>
        <w:drawing>
          <wp:inline distT="0" distB="0" distL="0" distR="0">
            <wp:extent cx="5760720" cy="2657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ide_lab_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D0" w:rsidRDefault="004662D0" w:rsidP="00AA1A5E">
      <w:r>
        <w:t xml:space="preserve">Modifiez le nombre d’occurrence </w:t>
      </w:r>
      <w:proofErr w:type="spellStart"/>
      <w:r w:rsidR="000C4B24">
        <w:t>M</w:t>
      </w:r>
      <w:r>
        <w:t>inimun</w:t>
      </w:r>
      <w:proofErr w:type="spellEnd"/>
      <w:r>
        <w:t xml:space="preserve"> </w:t>
      </w:r>
      <w:r w:rsidRPr="000C4B24">
        <w:rPr>
          <w:b/>
          <w:sz w:val="24"/>
        </w:rPr>
        <w:t>et</w:t>
      </w:r>
      <w:r w:rsidRPr="000C4B24">
        <w:rPr>
          <w:sz w:val="24"/>
        </w:rPr>
        <w:t xml:space="preserve"> </w:t>
      </w:r>
      <w:r w:rsidR="000C4B24">
        <w:t>M</w:t>
      </w:r>
      <w:r>
        <w:t xml:space="preserve">aximum par le nombre de </w:t>
      </w:r>
      <w:r w:rsidR="000C4B24">
        <w:t xml:space="preserve">tests de laboratoires </w:t>
      </w:r>
      <w:r w:rsidR="000C4B24" w:rsidRPr="000C4B24">
        <w:rPr>
          <w:b/>
        </w:rPr>
        <w:t>total</w:t>
      </w:r>
      <w:r>
        <w:t xml:space="preserve"> que vous </w:t>
      </w:r>
      <w:r w:rsidR="000C4B24">
        <w:t>aurez besoin</w:t>
      </w:r>
      <w:r>
        <w:t>.</w:t>
      </w:r>
    </w:p>
    <w:p w:rsidR="0019333D" w:rsidRDefault="004662D0" w:rsidP="0019333D">
      <w:r>
        <w:rPr>
          <w:noProof/>
          <w:lang w:eastAsia="fr-FR"/>
        </w:rPr>
        <w:drawing>
          <wp:inline distT="0" distB="0" distL="0" distR="0" wp14:anchorId="08BF18EE" wp14:editId="262C07A1">
            <wp:extent cx="352425" cy="30961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rtisement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70" cy="3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Le module ne permet pas de diviser les tests pour séparer les catégories</w:t>
      </w:r>
      <w:r w:rsidR="0024184C">
        <w:t xml:space="preserve"> (hématologie et biologique par ex)</w:t>
      </w:r>
      <w:r>
        <w:t>. Il faut soient toutes les stockés sur le même tableau (solution conse</w:t>
      </w:r>
      <w:r w:rsidR="0024184C">
        <w:t>illé), s</w:t>
      </w:r>
      <w:r>
        <w:t xml:space="preserve">oit diviser la page LAB en plusieurs mais dans ce cas il faudra refaire toutes les étapes de ce guide (y compris la partie sur </w:t>
      </w:r>
      <w:proofErr w:type="spellStart"/>
      <w:r>
        <w:t>TrialMaster</w:t>
      </w:r>
      <w:proofErr w:type="spellEnd"/>
      <w:r>
        <w:t>) pour chaque fiche LAB différente.</w:t>
      </w:r>
    </w:p>
    <w:p w:rsidR="00FA280B" w:rsidRDefault="00FA280B" w:rsidP="0019333D"/>
    <w:p w:rsidR="0019333D" w:rsidRDefault="0019333D" w:rsidP="0019333D">
      <w:pPr>
        <w:pStyle w:val="Titre3"/>
      </w:pPr>
      <w:bookmarkStart w:id="4" w:name="_Toc149571909"/>
      <w:r>
        <w:t xml:space="preserve">Configurer les unités Laboratoires du </w:t>
      </w:r>
      <w:proofErr w:type="spellStart"/>
      <w:r>
        <w:t>Builder</w:t>
      </w:r>
      <w:bookmarkEnd w:id="4"/>
      <w:proofErr w:type="spellEnd"/>
    </w:p>
    <w:p w:rsidR="0019333D" w:rsidRDefault="0019333D" w:rsidP="0019333D">
      <w:r>
        <w:t xml:space="preserve">L’étape suivante est de créé </w:t>
      </w:r>
      <w:r w:rsidR="00FA280B">
        <w:t xml:space="preserve">et configurer </w:t>
      </w:r>
      <w:r>
        <w:t>les unités de laboratoire qui seront utilisés sur la fiche</w:t>
      </w:r>
      <w:r w:rsidR="00FA280B">
        <w:t>.</w:t>
      </w:r>
    </w:p>
    <w:p w:rsidR="0019333D" w:rsidRDefault="0019333D" w:rsidP="0019333D">
      <w:r>
        <w:rPr>
          <w:noProof/>
          <w:lang w:eastAsia="fr-FR"/>
        </w:rPr>
        <w:drawing>
          <wp:inline distT="0" distB="0" distL="0" distR="0">
            <wp:extent cx="2533333" cy="3257143"/>
            <wp:effectExtent l="0" t="0" r="635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ide_lab_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0B" w:rsidRDefault="00FA280B" w:rsidP="0019333D"/>
    <w:p w:rsidR="0001447C" w:rsidRDefault="0001447C" w:rsidP="0019333D">
      <w:r>
        <w:lastRenderedPageBreak/>
        <w:t xml:space="preserve">On commence par « Unit </w:t>
      </w:r>
      <w:proofErr w:type="spellStart"/>
      <w:r>
        <w:t>Families</w:t>
      </w:r>
      <w:proofErr w:type="spellEnd"/>
      <w:r>
        <w:t> » où on va créer la liste d’unités qu’</w:t>
      </w:r>
      <w:r w:rsidR="00FA280B">
        <w:t xml:space="preserve">utilisera </w:t>
      </w:r>
      <w:proofErr w:type="spellStart"/>
      <w:r w:rsidR="00FA280B">
        <w:t>TrialMaster</w:t>
      </w:r>
      <w:proofErr w:type="spellEnd"/>
      <w:r w:rsidR="00FA280B">
        <w:t> :</w:t>
      </w:r>
    </w:p>
    <w:p w:rsidR="00FA280B" w:rsidRDefault="00FA280B" w:rsidP="0019333D">
      <w:r>
        <w:rPr>
          <w:noProof/>
          <w:lang w:eastAsia="fr-FR"/>
        </w:rPr>
        <w:drawing>
          <wp:inline distT="0" distB="0" distL="0" distR="0">
            <wp:extent cx="4955003" cy="308734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ide_lab_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003" cy="30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0B" w:rsidRDefault="0001447C" w:rsidP="0019333D">
      <w:r>
        <w:rPr>
          <w:noProof/>
          <w:lang w:eastAsia="fr-FR"/>
        </w:rPr>
        <w:drawing>
          <wp:inline distT="0" distB="0" distL="0" distR="0" wp14:anchorId="20EA0CF1" wp14:editId="4DFF4B5F">
            <wp:extent cx="352425" cy="30961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rtisement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70" cy="3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chaque </w:t>
      </w:r>
      <w:r w:rsidR="00FA280B">
        <w:t xml:space="preserve">fois qu’on veut rajouter une nouvelle unité une MSC sera nécessaire où il faudra modifier cette famille et la partie conversion avant de pouvoir utiliser l’unité sur </w:t>
      </w:r>
      <w:proofErr w:type="spellStart"/>
      <w:r w:rsidR="00FA280B">
        <w:t>TrialMaster</w:t>
      </w:r>
      <w:proofErr w:type="spellEnd"/>
      <w:r w:rsidR="00FA280B">
        <w:t>. Essayez donc de prendre le plus grand nombre d’</w:t>
      </w:r>
      <w:r w:rsidR="007A6383">
        <w:t xml:space="preserve">unité possibles et </w:t>
      </w:r>
      <w:r w:rsidR="00FA280B">
        <w:t xml:space="preserve">pensez </w:t>
      </w:r>
      <w:r w:rsidR="007A6383">
        <w:t xml:space="preserve">bien </w:t>
      </w:r>
      <w:r w:rsidR="00FA280B">
        <w:t xml:space="preserve">à avoir une unité vide (le point dans mon cas) qui peut servir de </w:t>
      </w:r>
      <w:proofErr w:type="spellStart"/>
      <w:r w:rsidR="00FA280B">
        <w:t>placeholder</w:t>
      </w:r>
      <w:proofErr w:type="spellEnd"/>
      <w:r w:rsidR="00FA280B">
        <w:t xml:space="preserve"> en cas d’oubli.</w:t>
      </w:r>
    </w:p>
    <w:p w:rsidR="008F1947" w:rsidRDefault="008F1947" w:rsidP="0019333D"/>
    <w:p w:rsidR="00FA280B" w:rsidRDefault="00FA280B" w:rsidP="0019333D">
      <w:r>
        <w:t xml:space="preserve">On va ensuite dans la partie </w:t>
      </w:r>
      <w:proofErr w:type="spellStart"/>
      <w:r>
        <w:t>Families</w:t>
      </w:r>
      <w:proofErr w:type="spellEnd"/>
      <w:r>
        <w:t xml:space="preserve"> conversion où on va créer un nouveau modèle de conversion des unités entre-elles. Dedans apparaitra la liste créé dans Unit </w:t>
      </w:r>
      <w:proofErr w:type="spellStart"/>
      <w:r>
        <w:t>Families</w:t>
      </w:r>
      <w:proofErr w:type="spellEnd"/>
      <w:r>
        <w:t> :</w:t>
      </w:r>
      <w:r>
        <w:rPr>
          <w:noProof/>
          <w:lang w:eastAsia="fr-FR"/>
        </w:rPr>
        <w:drawing>
          <wp:inline distT="0" distB="0" distL="0" distR="0">
            <wp:extent cx="5760720" cy="259334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ide_lab_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0B" w:rsidRDefault="00FA280B" w:rsidP="0019333D">
      <w:r>
        <w:t>On doit ensuite configurer les conversions de chaque unité en une autre si c’est possible</w:t>
      </w:r>
      <w:r w:rsidR="000930CB">
        <w:t>.</w:t>
      </w:r>
      <w:r w:rsidR="004A4007">
        <w:t xml:space="preserve"> Le format imposé est du type : </w:t>
      </w:r>
      <w:r w:rsidR="008F1947">
        <w:t>« </w:t>
      </w:r>
      <w:r w:rsidR="004A4007">
        <w:t xml:space="preserve">{0} * </w:t>
      </w:r>
      <w:r w:rsidR="004A4007" w:rsidRPr="004A4007">
        <w:rPr>
          <w:color w:val="FF0000"/>
        </w:rPr>
        <w:t>xxx</w:t>
      </w:r>
      <w:r w:rsidR="008F1947">
        <w:rPr>
          <w:color w:val="FF0000"/>
        </w:rPr>
        <w:t> </w:t>
      </w:r>
      <w:r w:rsidR="008F1947" w:rsidRPr="008F1947">
        <w:t>»</w:t>
      </w:r>
      <w:r w:rsidR="004A4007" w:rsidRPr="004A4007">
        <w:rPr>
          <w:color w:val="FF0000"/>
        </w:rPr>
        <w:t xml:space="preserve"> </w:t>
      </w:r>
      <w:r w:rsidR="004A4007">
        <w:t xml:space="preserve">ou </w:t>
      </w:r>
      <w:r w:rsidR="008F1947">
        <w:t>« </w:t>
      </w:r>
      <w:r w:rsidR="004A4007">
        <w:t xml:space="preserve">{0} / </w:t>
      </w:r>
      <w:r w:rsidR="004A4007">
        <w:rPr>
          <w:color w:val="FF0000"/>
        </w:rPr>
        <w:t>xxx</w:t>
      </w:r>
      <w:r w:rsidR="008F1947">
        <w:rPr>
          <w:color w:val="FF0000"/>
        </w:rPr>
        <w:t> </w:t>
      </w:r>
      <w:r w:rsidR="008F1947" w:rsidRPr="008F1947">
        <w:t>»</w:t>
      </w:r>
      <w:r w:rsidR="008F1947">
        <w:rPr>
          <w:color w:val="FF0000"/>
        </w:rPr>
        <w:t> </w:t>
      </w:r>
    </w:p>
    <w:p w:rsidR="000930CB" w:rsidRDefault="000930CB" w:rsidP="0019333D">
      <w:r>
        <w:rPr>
          <w:noProof/>
          <w:lang w:eastAsia="fr-FR"/>
        </w:rPr>
        <w:lastRenderedPageBreak/>
        <w:drawing>
          <wp:inline distT="0" distB="0" distL="0" distR="0" wp14:anchorId="6F565A68" wp14:editId="5ED74C2E">
            <wp:extent cx="352425" cy="30961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rtisement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70" cy="3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noté que la conversion </w:t>
      </w:r>
      <w:r w:rsidR="008F1947">
        <w:t>de l</w:t>
      </w:r>
      <w:r w:rsidR="00A94055">
        <w:t>’</w:t>
      </w:r>
      <w:r w:rsidR="008F1947">
        <w:t xml:space="preserve">unité </w:t>
      </w:r>
      <w:r>
        <w:t xml:space="preserve">par </w:t>
      </w:r>
      <w:r w:rsidR="008F1947">
        <w:t>elle</w:t>
      </w:r>
      <w:r>
        <w:t>-même doit toujours être présente à minim</w:t>
      </w:r>
      <w:r w:rsidR="008F1947">
        <w:t>a</w:t>
      </w:r>
      <w:r>
        <w:t xml:space="preserve"> pour éviter des problèmes </w:t>
      </w:r>
      <w:r w:rsidR="008F1947">
        <w:t xml:space="preserve">lors des </w:t>
      </w:r>
      <w:r>
        <w:t>export</w:t>
      </w:r>
      <w:r w:rsidR="008F1947">
        <w:t>s</w:t>
      </w:r>
      <w:r>
        <w:t xml:space="preserve">. Le reste </w:t>
      </w:r>
      <w:r w:rsidR="00A94055">
        <w:t>des c</w:t>
      </w:r>
      <w:bookmarkStart w:id="5" w:name="_GoBack"/>
      <w:bookmarkEnd w:id="5"/>
      <w:r w:rsidR="00A94055">
        <w:t>onversions</w:t>
      </w:r>
      <w:r w:rsidR="008F1947">
        <w:t xml:space="preserve"> </w:t>
      </w:r>
      <w:r>
        <w:t xml:space="preserve">est optionnel et dépendra de si vous souhaité permettre d’utiliser des unités différentes suivants les </w:t>
      </w:r>
      <w:proofErr w:type="spellStart"/>
      <w:r>
        <w:t>labs</w:t>
      </w:r>
      <w:proofErr w:type="spellEnd"/>
      <w:r>
        <w:t xml:space="preserve"> et tests.</w:t>
      </w:r>
    </w:p>
    <w:p w:rsidR="004A4007" w:rsidRDefault="000930CB" w:rsidP="0019333D">
      <w:r>
        <w:rPr>
          <w:noProof/>
          <w:lang w:eastAsia="fr-FR"/>
        </w:rPr>
        <w:drawing>
          <wp:inline distT="0" distB="0" distL="0" distR="0">
            <wp:extent cx="5760720" cy="2734310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ide_lab_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7" w:rsidRDefault="004A4007" w:rsidP="0019333D">
      <w:r>
        <w:t xml:space="preserve">Cette liste peut très rapidement devenir très longue. Voici un exemple d’une de mes études </w:t>
      </w:r>
      <w:r w:rsidR="003864DE">
        <w:t xml:space="preserve">(avec des ajouts en cours d’étude) </w:t>
      </w:r>
      <w:r>
        <w:t>:</w:t>
      </w:r>
    </w:p>
    <w:p w:rsidR="004A4007" w:rsidRDefault="004A4007" w:rsidP="0019333D">
      <w:r>
        <w:rPr>
          <w:noProof/>
          <w:lang w:eastAsia="fr-FR"/>
        </w:rPr>
        <w:drawing>
          <wp:inline distT="0" distB="0" distL="0" distR="0">
            <wp:extent cx="4762500" cy="4704229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ide_lab_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849" cy="47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9B" w:rsidRDefault="00B17A9B" w:rsidP="00B17A9B">
      <w:pPr>
        <w:pStyle w:val="Titre3"/>
      </w:pPr>
      <w:bookmarkStart w:id="6" w:name="_Toc149571910"/>
      <w:r>
        <w:lastRenderedPageBreak/>
        <w:t>Listing des tests de laboratoire</w:t>
      </w:r>
      <w:bookmarkEnd w:id="6"/>
    </w:p>
    <w:p w:rsidR="00B17A9B" w:rsidRDefault="00B17A9B" w:rsidP="00B17A9B">
      <w:r>
        <w:t xml:space="preserve">Une fois la liste des unités terminées, l’étape suivante </w:t>
      </w:r>
      <w:r w:rsidR="00021E95">
        <w:t>sera</w:t>
      </w:r>
      <w:r>
        <w:t xml:space="preserve"> de créé la liste des tests qui sera utilisé</w:t>
      </w:r>
      <w:r w:rsidR="00021E95">
        <w:t xml:space="preserve"> par le module </w:t>
      </w:r>
      <w:proofErr w:type="spellStart"/>
      <w:r w:rsidR="00021E95">
        <w:t>Labs</w:t>
      </w:r>
      <w:proofErr w:type="spellEnd"/>
      <w:r>
        <w:t>.</w:t>
      </w:r>
    </w:p>
    <w:p w:rsidR="00B17A9B" w:rsidRDefault="00B17A9B" w:rsidP="00B17A9B">
      <w:proofErr w:type="spellStart"/>
      <w:proofErr w:type="gramStart"/>
      <w:r>
        <w:t>On</w:t>
      </w:r>
      <w:proofErr w:type="spellEnd"/>
      <w:proofErr w:type="gramEnd"/>
      <w:r>
        <w:t xml:space="preserve"> créé un nouveau « Test Code » à partir de cet onglet :</w:t>
      </w:r>
    </w:p>
    <w:p w:rsidR="00B17A9B" w:rsidRDefault="00B17A9B" w:rsidP="00B17A9B">
      <w:r>
        <w:rPr>
          <w:noProof/>
          <w:lang w:eastAsia="fr-FR"/>
        </w:rPr>
        <w:drawing>
          <wp:inline distT="0" distB="0" distL="0" distR="0">
            <wp:extent cx="2447925" cy="332422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ide_lab_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75" cy="33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95" w:rsidRDefault="00021E95" w:rsidP="00021E95">
      <w:r>
        <w:t>On obtient un tableau vierge qu’on va remplir avec les noms des tests et un codage. Le « </w:t>
      </w:r>
      <w:proofErr w:type="spellStart"/>
      <w:r>
        <w:t>form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object</w:t>
      </w:r>
      <w:proofErr w:type="spellEnd"/>
      <w:r>
        <w:t> » et « </w:t>
      </w:r>
      <w:proofErr w:type="spellStart"/>
      <w:r>
        <w:t>units</w:t>
      </w:r>
      <w:proofErr w:type="spellEnd"/>
      <w:r>
        <w:t> » devront toujours avoir les valeurs correspondantes à « </w:t>
      </w:r>
      <w:proofErr w:type="spellStart"/>
      <w:r>
        <w:t>Laboratory</w:t>
      </w:r>
      <w:proofErr w:type="spellEnd"/>
      <w:r>
        <w:t xml:space="preserve"> Tests » et au nom qu’on a donné à notre liste d’unités convertissables.</w:t>
      </w:r>
    </w:p>
    <w:p w:rsidR="00B17A9B" w:rsidRDefault="00B17A9B" w:rsidP="00B17A9B">
      <w:r>
        <w:rPr>
          <w:noProof/>
          <w:lang w:eastAsia="fr-FR"/>
        </w:rPr>
        <w:drawing>
          <wp:inline distT="0" distB="0" distL="0" distR="0">
            <wp:extent cx="5760720" cy="280225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ide_lab_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95" w:rsidRDefault="00021E95" w:rsidP="00B17A9B"/>
    <w:p w:rsidR="00021E95" w:rsidRDefault="00021E95" w:rsidP="00B17A9B"/>
    <w:p w:rsidR="00021E95" w:rsidRDefault="00021E95" w:rsidP="00B17A9B"/>
    <w:p w:rsidR="00B17A9B" w:rsidRPr="00B17A9B" w:rsidRDefault="00021E95" w:rsidP="00B17A9B">
      <w:r>
        <w:lastRenderedPageBreak/>
        <w:t>Une fois terminé on obtient un tableau de ce type :</w:t>
      </w:r>
    </w:p>
    <w:p w:rsidR="00021E95" w:rsidRDefault="00021E95">
      <w:r>
        <w:rPr>
          <w:noProof/>
          <w:lang w:eastAsia="fr-FR"/>
        </w:rPr>
        <w:drawing>
          <wp:inline distT="0" distB="0" distL="0" distR="0">
            <wp:extent cx="4867954" cy="7363853"/>
            <wp:effectExtent l="0" t="0" r="8890" b="889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ide_lab_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9B" w:rsidRDefault="00021E95">
      <w:r>
        <w:rPr>
          <w:noProof/>
          <w:lang w:eastAsia="fr-FR"/>
        </w:rPr>
        <w:drawing>
          <wp:inline distT="0" distB="0" distL="0" distR="0" wp14:anchorId="0FD5D4E2" wp14:editId="19549162">
            <wp:extent cx="352425" cy="309616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rtisement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70" cy="3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Le nombre de ligne de test doit correspondre aux nombres d’occurrences indiqué dans l’étape de configuration du groupe item du tableau répétée.</w:t>
      </w:r>
      <w:r w:rsidR="00B17A9B">
        <w:br w:type="page"/>
      </w:r>
    </w:p>
    <w:p w:rsidR="004F23DF" w:rsidRDefault="00434421" w:rsidP="00434421">
      <w:pPr>
        <w:pStyle w:val="Titre2"/>
      </w:pPr>
      <w:bookmarkStart w:id="7" w:name="_Toc149571911"/>
      <w:r>
        <w:lastRenderedPageBreak/>
        <w:t xml:space="preserve">Configuration sur </w:t>
      </w:r>
      <w:proofErr w:type="spellStart"/>
      <w:r>
        <w:t>TrialMaster</w:t>
      </w:r>
      <w:bookmarkEnd w:id="7"/>
      <w:proofErr w:type="spellEnd"/>
    </w:p>
    <w:p w:rsidR="00397C7C" w:rsidRDefault="00397C7C" w:rsidP="00397C7C"/>
    <w:p w:rsidR="00397C7C" w:rsidRDefault="005F02AB" w:rsidP="0016717D">
      <w:pPr>
        <w:pStyle w:val="Titre3"/>
      </w:pPr>
      <w:bookmarkStart w:id="8" w:name="_Toc149571912"/>
      <w:r>
        <w:t>Création des laboratoires</w:t>
      </w:r>
      <w:bookmarkEnd w:id="8"/>
    </w:p>
    <w:p w:rsidR="0016717D" w:rsidRDefault="00843BD5" w:rsidP="0016717D">
      <w:r>
        <w:rPr>
          <w:noProof/>
          <w:lang w:eastAsia="fr-FR"/>
        </w:rPr>
        <w:drawing>
          <wp:inline distT="0" distB="0" distL="0" distR="0" wp14:anchorId="6925B635" wp14:editId="66CC06D6">
            <wp:extent cx="352425" cy="309616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rtisement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70" cy="3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Le module </w:t>
      </w:r>
      <w:proofErr w:type="spellStart"/>
      <w:r>
        <w:t>Labs</w:t>
      </w:r>
      <w:proofErr w:type="spellEnd"/>
      <w:r>
        <w:t xml:space="preserve"> est à configurer après avoir créé les sites de l’étude et configurer les droits des rôles utilisateurs.</w:t>
      </w:r>
    </w:p>
    <w:p w:rsidR="00843BD5" w:rsidRDefault="00843BD5" w:rsidP="0016717D">
      <w:r>
        <w:t xml:space="preserve">Le module </w:t>
      </w:r>
      <w:proofErr w:type="spellStart"/>
      <w:r>
        <w:t>Labs</w:t>
      </w:r>
      <w:proofErr w:type="spellEnd"/>
      <w:r>
        <w:t xml:space="preserve"> se trouve dans l’onglet </w:t>
      </w:r>
      <w:proofErr w:type="spellStart"/>
      <w:r>
        <w:t>Administer</w:t>
      </w:r>
      <w:proofErr w:type="spellEnd"/>
      <w:r>
        <w:t xml:space="preserve"> et ne doit être accessible qu’aux data-managers et informaticiens.</w:t>
      </w:r>
    </w:p>
    <w:p w:rsidR="00843BD5" w:rsidRDefault="00843BD5" w:rsidP="0016717D">
      <w:r>
        <w:rPr>
          <w:noProof/>
          <w:lang w:eastAsia="fr-FR"/>
        </w:rPr>
        <w:drawing>
          <wp:inline distT="0" distB="0" distL="0" distR="0">
            <wp:extent cx="4553585" cy="285789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ide_lab_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D5" w:rsidRDefault="00843BD5" w:rsidP="0016717D">
      <w:r>
        <w:t>En cliquant sur le bouton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Lab</w:t>
      </w:r>
      <w:proofErr w:type="spellEnd"/>
      <w:r>
        <w:t> » on peut entrer le nom du laboratoire et lui attribuer un ou plusieurs sites. Seul les laboratoires attribués à leur centre seront visibles pour la sélection par l’ARC.</w:t>
      </w:r>
    </w:p>
    <w:p w:rsidR="00843BD5" w:rsidRDefault="00843BD5" w:rsidP="0016717D">
      <w:r>
        <w:rPr>
          <w:noProof/>
          <w:lang w:eastAsia="fr-FR"/>
        </w:rPr>
        <w:drawing>
          <wp:inline distT="0" distB="0" distL="0" distR="0">
            <wp:extent cx="5487166" cy="308653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ide_lab_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D5" w:rsidRDefault="00843BD5" w:rsidP="0016717D">
      <w:r>
        <w:rPr>
          <w:noProof/>
          <w:lang w:eastAsia="fr-FR"/>
        </w:rPr>
        <w:lastRenderedPageBreak/>
        <w:drawing>
          <wp:inline distT="0" distB="0" distL="0" distR="0" wp14:anchorId="0263E992" wp14:editId="4E0440DB">
            <wp:extent cx="352425" cy="309616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rtisement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70" cy="3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 un patient migre de centre au cours de l’étude, il faudra </w:t>
      </w:r>
      <w:r w:rsidR="00386A0B">
        <w:t>attribuer tous les laboratoires qui le concerne aux 2 centres autrement les informations disparaitront des fiches lors de la migration (mais visible dans l’audit-</w:t>
      </w:r>
      <w:proofErr w:type="spellStart"/>
      <w:r w:rsidR="00386A0B">
        <w:t>trail</w:t>
      </w:r>
      <w:proofErr w:type="spellEnd"/>
      <w:r w:rsidR="00386A0B">
        <w:t>).</w:t>
      </w:r>
    </w:p>
    <w:p w:rsidR="005F02AB" w:rsidRDefault="005F02AB" w:rsidP="0016717D"/>
    <w:p w:rsidR="005F02AB" w:rsidRDefault="005F02AB" w:rsidP="0016717D">
      <w:r>
        <w:t>Après avoir créé le laboratoire, il faut lui attribuer le Template « </w:t>
      </w:r>
      <w:proofErr w:type="spellStart"/>
      <w:r>
        <w:t>lab</w:t>
      </w:r>
      <w:proofErr w:type="spellEnd"/>
      <w:r>
        <w:t xml:space="preserve"> range import ».</w:t>
      </w:r>
    </w:p>
    <w:p w:rsidR="005F02AB" w:rsidRDefault="005F02AB" w:rsidP="0016717D">
      <w:r>
        <w:rPr>
          <w:noProof/>
          <w:lang w:eastAsia="fr-FR"/>
        </w:rPr>
        <w:drawing>
          <wp:inline distT="0" distB="0" distL="0" distR="0">
            <wp:extent cx="5760720" cy="177546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ide_lab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AB" w:rsidRDefault="005F02AB" w:rsidP="0016717D"/>
    <w:p w:rsidR="005F02AB" w:rsidRDefault="005F02AB" w:rsidP="005F02AB">
      <w:pPr>
        <w:pStyle w:val="Titre3"/>
      </w:pPr>
      <w:bookmarkStart w:id="9" w:name="_Toc149571913"/>
      <w:r>
        <w:t>Création des ranges pour un laboratoire</w:t>
      </w:r>
      <w:bookmarkEnd w:id="9"/>
    </w:p>
    <w:p w:rsidR="005F02AB" w:rsidRDefault="008F6347" w:rsidP="005F02AB">
      <w:r>
        <w:t>La prochaine de configuration consiste à saisir les normes d’un laboratoire.</w:t>
      </w:r>
    </w:p>
    <w:p w:rsidR="008F6347" w:rsidRDefault="008F6347" w:rsidP="005F02AB">
      <w:r>
        <w:t xml:space="preserve">On y accède en cliquant sur l’onglet « Normal Ranges » du laboratoire (si le </w:t>
      </w:r>
      <w:proofErr w:type="spellStart"/>
      <w:r>
        <w:t>template</w:t>
      </w:r>
      <w:proofErr w:type="spellEnd"/>
      <w:r>
        <w:t xml:space="preserve"> n’est pas attribué, rien n’est visible dedans comme sur le 2</w:t>
      </w:r>
      <w:r w:rsidRPr="008F6347">
        <w:rPr>
          <w:vertAlign w:val="superscript"/>
        </w:rPr>
        <w:t>ème</w:t>
      </w:r>
      <w:r>
        <w:t xml:space="preserve"> </w:t>
      </w:r>
      <w:proofErr w:type="spellStart"/>
      <w:r>
        <w:t>Lab</w:t>
      </w:r>
      <w:proofErr w:type="spellEnd"/>
      <w:r>
        <w:t xml:space="preserve"> dans l’exemple ci-dessous) :</w:t>
      </w:r>
    </w:p>
    <w:p w:rsidR="008F6347" w:rsidRDefault="008F6347" w:rsidP="005F02AB">
      <w:r>
        <w:rPr>
          <w:noProof/>
          <w:lang w:eastAsia="fr-FR"/>
        </w:rPr>
        <w:drawing>
          <wp:inline distT="0" distB="0" distL="0" distR="0">
            <wp:extent cx="5760720" cy="15494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ide_lab_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16" w:rsidRDefault="00C21116" w:rsidP="005F02AB">
      <w:r>
        <w:t>On arrive sur une nouvelle fiche où peut être saisie les normales ranges de chacun des tests listés dans l’étude :</w:t>
      </w:r>
    </w:p>
    <w:p w:rsidR="00C21116" w:rsidRDefault="00C21116" w:rsidP="005F02AB">
      <w:r>
        <w:rPr>
          <w:noProof/>
          <w:lang w:eastAsia="fr-FR"/>
        </w:rPr>
        <w:drawing>
          <wp:inline distT="0" distB="0" distL="0" distR="0">
            <wp:extent cx="5760720" cy="949325"/>
            <wp:effectExtent l="0" t="0" r="0" b="31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ide_lab_1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16" w:rsidRDefault="00C21116" w:rsidP="005F02AB">
      <w:r>
        <w:t>Pour chacun il faut au minimum une ligne pour les femmes et une pour les hommes mais plusieurs peuvent exister en fonction de l’âge et du sexe du patient :</w:t>
      </w:r>
    </w:p>
    <w:p w:rsidR="00C21116" w:rsidRDefault="00C21116" w:rsidP="005F02AB">
      <w:r>
        <w:rPr>
          <w:noProof/>
          <w:lang w:eastAsia="fr-FR"/>
        </w:rPr>
        <w:lastRenderedPageBreak/>
        <w:drawing>
          <wp:inline distT="0" distB="0" distL="0" distR="0">
            <wp:extent cx="5760720" cy="149479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ide_lab_1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0F" w:rsidRDefault="00C21116" w:rsidP="005F02AB">
      <w:r>
        <w:t xml:space="preserve">Une fois l’intégralité des normes saisies on peut </w:t>
      </w:r>
      <w:r w:rsidR="00BD0E0F">
        <w:t>enregistrer</w:t>
      </w:r>
      <w:r>
        <w:t xml:space="preserve"> </w:t>
      </w:r>
      <w:r w:rsidR="00BD0E0F">
        <w:t>et le laboratoire est terminé.</w:t>
      </w:r>
    </w:p>
    <w:p w:rsidR="00BD0E0F" w:rsidRDefault="00BD0E0F" w:rsidP="005F02AB"/>
    <w:p w:rsidR="00BD0E0F" w:rsidRDefault="00BD0E0F" w:rsidP="005F02AB">
      <w:r>
        <w:t xml:space="preserve">Pour éviter d’avoir à tout saisir manuellement on peut utiliser les options d’import (via un fichier </w:t>
      </w:r>
      <w:r w:rsidR="000908E7">
        <w:t>TAB bloc note</w:t>
      </w:r>
      <w:r>
        <w:t>) et de copy pour plus rapidement créé les normes.</w:t>
      </w:r>
    </w:p>
    <w:p w:rsidR="007A6F60" w:rsidRDefault="007A6F60" w:rsidP="005F02AB">
      <w:r>
        <w:t xml:space="preserve">Pour l’option Copy, une fois les normes d’un laboratoire écrite on sélectionne l’option Copy puis on arrive sur une fenêtre où on peut sélectionner un ou plusieurs </w:t>
      </w:r>
      <w:proofErr w:type="spellStart"/>
      <w:r>
        <w:t>labs</w:t>
      </w:r>
      <w:proofErr w:type="spellEnd"/>
      <w:r>
        <w:t xml:space="preserve"> où seront copier les normes de notre premier laboratoire :</w:t>
      </w:r>
    </w:p>
    <w:p w:rsidR="007A6F60" w:rsidRDefault="007A6F60" w:rsidP="005F02AB">
      <w:r>
        <w:rPr>
          <w:noProof/>
          <w:lang w:eastAsia="fr-FR"/>
        </w:rPr>
        <w:drawing>
          <wp:inline distT="0" distB="0" distL="0" distR="0">
            <wp:extent cx="5760720" cy="253746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ide_lab_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0" w:rsidRDefault="007A6F60" w:rsidP="005F02AB">
      <w:r>
        <w:t>Il ne restera ensuite qu’à passer sur les normes de chaque laboratoire et de corriger par les valeurs correspondantes.</w:t>
      </w:r>
    </w:p>
    <w:p w:rsidR="000908E7" w:rsidRDefault="000908E7" w:rsidP="005F02AB">
      <w:r>
        <w:t>L’option d’importation nécessite d’avoir un fichier qui contient les données sous un format de ce type pour que l’importation s’effectue bien :</w:t>
      </w:r>
    </w:p>
    <w:p w:rsidR="000908E7" w:rsidRPr="005F02AB" w:rsidRDefault="000908E7" w:rsidP="005F02AB">
      <w:r>
        <w:rPr>
          <w:noProof/>
          <w:lang w:eastAsia="fr-FR"/>
        </w:rPr>
        <w:drawing>
          <wp:inline distT="0" distB="0" distL="0" distR="0">
            <wp:extent cx="5760720" cy="125857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ide_lab_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8E7" w:rsidRPr="005F02AB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431" w:rsidRDefault="00F90431" w:rsidP="00F90431">
      <w:pPr>
        <w:spacing w:after="0" w:line="240" w:lineRule="auto"/>
      </w:pPr>
      <w:r>
        <w:separator/>
      </w:r>
    </w:p>
  </w:endnote>
  <w:endnote w:type="continuationSeparator" w:id="0">
    <w:p w:rsidR="00F90431" w:rsidRDefault="00F90431" w:rsidP="00F9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431" w:rsidRDefault="00F90431">
    <w:pPr>
      <w:pStyle w:val="Pieddepage"/>
    </w:pPr>
    <w:r>
      <w:t>Pierre Guyader</w:t>
    </w:r>
    <w:r>
      <w:ptab w:relativeTo="margin" w:alignment="center" w:leader="none"/>
    </w:r>
    <w:r>
      <w:t>Version 1.0</w:t>
    </w:r>
    <w:r>
      <w:ptab w:relativeTo="margin" w:alignment="right" w:leader="none"/>
    </w:r>
    <w:r>
      <w:t>30/10/2023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431" w:rsidRDefault="00F90431" w:rsidP="00F90431">
      <w:pPr>
        <w:spacing w:after="0" w:line="240" w:lineRule="auto"/>
      </w:pPr>
      <w:r>
        <w:separator/>
      </w:r>
    </w:p>
  </w:footnote>
  <w:footnote w:type="continuationSeparator" w:id="0">
    <w:p w:rsidR="00F90431" w:rsidRDefault="00F90431" w:rsidP="00F9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57AE"/>
    <w:multiLevelType w:val="hybridMultilevel"/>
    <w:tmpl w:val="5A82A244"/>
    <w:lvl w:ilvl="0" w:tplc="79DEAFE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368C"/>
    <w:multiLevelType w:val="hybridMultilevel"/>
    <w:tmpl w:val="EF2AC4FA"/>
    <w:lvl w:ilvl="0" w:tplc="05887502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D3"/>
    <w:rsid w:val="0001447C"/>
    <w:rsid w:val="00021E95"/>
    <w:rsid w:val="00031B62"/>
    <w:rsid w:val="000908E7"/>
    <w:rsid w:val="000930CB"/>
    <w:rsid w:val="000C4B24"/>
    <w:rsid w:val="0016717D"/>
    <w:rsid w:val="0019333D"/>
    <w:rsid w:val="001F3AE7"/>
    <w:rsid w:val="0024184C"/>
    <w:rsid w:val="003864DE"/>
    <w:rsid w:val="00386A0B"/>
    <w:rsid w:val="00397C7C"/>
    <w:rsid w:val="003D1598"/>
    <w:rsid w:val="00434421"/>
    <w:rsid w:val="004662D0"/>
    <w:rsid w:val="004A4007"/>
    <w:rsid w:val="004F23DF"/>
    <w:rsid w:val="005648D9"/>
    <w:rsid w:val="005C1307"/>
    <w:rsid w:val="005F02AB"/>
    <w:rsid w:val="00676ED3"/>
    <w:rsid w:val="007A6383"/>
    <w:rsid w:val="007A6F60"/>
    <w:rsid w:val="00843BD5"/>
    <w:rsid w:val="008F1947"/>
    <w:rsid w:val="008F6347"/>
    <w:rsid w:val="009173D9"/>
    <w:rsid w:val="00A94055"/>
    <w:rsid w:val="00AA1A5E"/>
    <w:rsid w:val="00B07E82"/>
    <w:rsid w:val="00B17A9B"/>
    <w:rsid w:val="00BD0E0F"/>
    <w:rsid w:val="00C21116"/>
    <w:rsid w:val="00C23D22"/>
    <w:rsid w:val="00CD4B4A"/>
    <w:rsid w:val="00DB340D"/>
    <w:rsid w:val="00E47983"/>
    <w:rsid w:val="00F44EE4"/>
    <w:rsid w:val="00F90431"/>
    <w:rsid w:val="00FA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4F0B"/>
  <w15:chartTrackingRefBased/>
  <w15:docId w15:val="{606D6A6D-BA56-412B-B3FB-6977F2CA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48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333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8"/>
      <w:szCs w:val="26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19333D"/>
    <w:pPr>
      <w:numPr>
        <w:numId w:val="2"/>
      </w:numPr>
      <w:outlineLvl w:val="2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8D9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333D"/>
    <w:rPr>
      <w:rFonts w:asciiTheme="majorHAnsi" w:eastAsiaTheme="majorEastAsia" w:hAnsiTheme="majorHAnsi" w:cstheme="majorBidi"/>
      <w:b/>
      <w:color w:val="222A35" w:themeColor="text2" w:themeShade="8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CD4B4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9333D"/>
    <w:rPr>
      <w:b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333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33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9333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9333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9333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90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0431"/>
  </w:style>
  <w:style w:type="paragraph" w:styleId="Pieddepage">
    <w:name w:val="footer"/>
    <w:basedOn w:val="Normal"/>
    <w:link w:val="PieddepageCar"/>
    <w:uiPriority w:val="99"/>
    <w:unhideWhenUsed/>
    <w:rsid w:val="00F90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8AECD-ADA2-4704-AA13-9EAADB52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Gustave Roussy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GUYADER Pierre</dc:creator>
  <cp:keywords/>
  <dc:description/>
  <cp:lastModifiedBy>GUYADER Pierre</cp:lastModifiedBy>
  <cp:revision>33</cp:revision>
  <dcterms:created xsi:type="dcterms:W3CDTF">2023-10-30T10:16:00Z</dcterms:created>
  <dcterms:modified xsi:type="dcterms:W3CDTF">2023-12-08T11:27:00Z</dcterms:modified>
</cp:coreProperties>
</file>