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b w:val="1"/>
          <w:sz w:val="24"/>
          <w:szCs w:val="24"/>
        </w:rPr>
      </w:pPr>
      <w:bookmarkStart w:colFirst="0" w:colLast="0" w:name="_heading=h.f115j7pqnals" w:id="0"/>
      <w:bookmarkEnd w:id="0"/>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2">
      <w:pPr>
        <w:pStyle w:val="Title"/>
        <w:jc w:val="left"/>
        <w:rPr>
          <w:rFonts w:ascii="Times New Roman" w:cs="Times New Roman" w:eastAsia="Times New Roman" w:hAnsi="Times New Roman"/>
          <w:b w:val="1"/>
          <w:sz w:val="24"/>
          <w:szCs w:val="24"/>
        </w:rPr>
      </w:pPr>
      <w:bookmarkStart w:colFirst="0" w:colLast="0" w:name="_heading=h.m3cc574g1qx1" w:id="1"/>
      <w:bookmarkEnd w:id="1"/>
      <w:r w:rsidDel="00000000" w:rsidR="00000000" w:rsidRPr="00000000">
        <w:rPr>
          <w:rtl w:val="0"/>
        </w:rPr>
      </w:r>
    </w:p>
    <w:p w:rsidR="00000000" w:rsidDel="00000000" w:rsidP="00000000" w:rsidRDefault="00000000" w:rsidRPr="00000000" w14:paraId="00000003">
      <w:pPr>
        <w:pStyle w:val="Title"/>
        <w:jc w:val="left"/>
        <w:rPr>
          <w:rFonts w:ascii="Times New Roman" w:cs="Times New Roman" w:eastAsia="Times New Roman" w:hAnsi="Times New Roman"/>
          <w:b w:val="1"/>
          <w:sz w:val="24"/>
          <w:szCs w:val="24"/>
        </w:rPr>
      </w:pPr>
      <w:bookmarkStart w:colFirst="0" w:colLast="0" w:name="_heading=h.ub6kicu8o4kb" w:id="2"/>
      <w:bookmarkEnd w:id="2"/>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jc w:val="left"/>
        <w:rPr>
          <w:rFonts w:ascii="Times New Roman" w:cs="Times New Roman" w:eastAsia="Times New Roman" w:hAnsi="Times New Roman"/>
          <w:b w:val="1"/>
          <w:sz w:val="24"/>
          <w:szCs w:val="24"/>
        </w:rPr>
      </w:pPr>
      <w:bookmarkStart w:colFirst="0" w:colLast="0" w:name="_heading=h.x9b3z12tbqk1" w:id="3"/>
      <w:bookmarkEnd w:id="3"/>
      <w:r w:rsidDel="00000000" w:rsidR="00000000" w:rsidRPr="00000000">
        <w:rPr>
          <w:rtl w:val="0"/>
        </w:rPr>
      </w:r>
    </w:p>
    <w:p w:rsidR="00000000" w:rsidDel="00000000" w:rsidP="00000000" w:rsidRDefault="00000000" w:rsidRPr="00000000" w14:paraId="00000007">
      <w:pPr>
        <w:pStyle w:val="Title"/>
        <w:jc w:val="left"/>
        <w:rPr>
          <w:rFonts w:ascii="Times New Roman" w:cs="Times New Roman" w:eastAsia="Times New Roman" w:hAnsi="Times New Roman"/>
          <w:sz w:val="24"/>
          <w:szCs w:val="24"/>
        </w:rPr>
      </w:pPr>
      <w:bookmarkStart w:colFirst="0" w:colLast="0" w:name="_heading=h.gjdgxs" w:id="4"/>
      <w:bookmarkEnd w:id="4"/>
      <w:r w:rsidDel="00000000" w:rsidR="00000000" w:rsidRPr="00000000">
        <w:rPr>
          <w:rFonts w:ascii="Times New Roman" w:cs="Times New Roman" w:eastAsia="Times New Roman" w:hAnsi="Times New Roman"/>
          <w:b w:val="1"/>
          <w:sz w:val="24"/>
          <w:szCs w:val="24"/>
          <w:rtl w:val="0"/>
        </w:rPr>
        <w:t xml:space="preserve">Data </w:t>
      </w:r>
      <w:r w:rsidDel="00000000" w:rsidR="00000000" w:rsidRPr="00000000">
        <w:rPr>
          <w:rFonts w:ascii="Times New Roman" w:cs="Times New Roman" w:eastAsia="Times New Roman" w:hAnsi="Times New Roman"/>
          <w:b w:val="1"/>
          <w:sz w:val="24"/>
          <w:szCs w:val="24"/>
          <w:rtl w:val="0"/>
        </w:rPr>
        <w:t xml:space="preserve">Shortfalls on Vascular Epiphytes in the Neotropics</w:t>
      </w: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Judith Carmona-Higuita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Andreas Mehl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Derio Antonio Jiménez-López</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Flavio Nunes Ramos</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Michael Kessler</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Talitha Mayumi Francisco</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Adriano Quaresma</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Nayely Martínez-Meléndez</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André Luís de Gasper</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Ana Maria Benavides</w:t>
      </w:r>
      <w:r w:rsidDel="00000000" w:rsidR="00000000" w:rsidRPr="00000000">
        <w:rPr>
          <w:rFonts w:ascii="Times New Roman" w:cs="Times New Roman" w:eastAsia="Times New Roman" w:hAnsi="Times New Roman"/>
          <w:sz w:val="24"/>
          <w:szCs w:val="24"/>
          <w:vertAlign w:val="superscript"/>
          <w:rtl w:val="0"/>
        </w:rPr>
        <w:t xml:space="preserve">9</w:t>
      </w:r>
      <w:r w:rsidDel="00000000" w:rsidR="00000000" w:rsidRPr="00000000">
        <w:rPr>
          <w:rFonts w:ascii="Times New Roman" w:cs="Times New Roman" w:eastAsia="Times New Roman" w:hAnsi="Times New Roman"/>
          <w:sz w:val="24"/>
          <w:szCs w:val="24"/>
          <w:rtl w:val="0"/>
        </w:rPr>
        <w:t xml:space="preserve">, Glenda Mendieta-Leiva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Alexander Zizka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 </w:t>
      </w:r>
      <w:r w:rsidDel="00000000" w:rsidR="00000000" w:rsidRPr="00000000">
        <w:rPr>
          <w:rFonts w:ascii="Times New Roman" w:cs="Times New Roman" w:eastAsia="Times New Roman" w:hAnsi="Times New Roman"/>
          <w:sz w:val="24"/>
          <w:szCs w:val="24"/>
          <w:rtl w:val="0"/>
        </w:rPr>
        <w:t xml:space="preserve">Department of Biology, Philipps-Universität Marburg, Karl-von-Frisch-Straße 8, 35032, Marburg, Germany.</w:t>
      </w:r>
    </w:p>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Departamento de Conservación de la Biodiversidad, El Colegio de la Frontera Sur, periférico sur s/n, María Auxiliadora, 29290, San Cristóbal de las Casas, México.</w:t>
      </w:r>
    </w:p>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Instituto de Ciências Naturais, Universidade Federal de Alfenas, Rua Gabriel Monteiro da Silva, 700,  37130-001, Centro, Alfenas, MG, Brasil.</w:t>
      </w:r>
    </w:p>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Systematic and Evolutionary Botany, University of Zurich, Zollikerstrasse 107, 8008 Zurich, Switzerland.</w:t>
      </w:r>
    </w:p>
    <w:p w:rsidR="00000000" w:rsidDel="00000000" w:rsidP="00000000" w:rsidRDefault="00000000" w:rsidRPr="00000000" w14:paraId="0000000E">
      <w:pPr>
        <w:jc w:val="left"/>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tl w:val="0"/>
        </w:rPr>
        <w:t xml:space="preserve">5 </w:t>
      </w:r>
      <w:r w:rsidDel="00000000" w:rsidR="00000000" w:rsidRPr="00000000">
        <w:rPr>
          <w:rFonts w:ascii="Times New Roman" w:cs="Times New Roman" w:eastAsia="Times New Roman" w:hAnsi="Times New Roman"/>
          <w:sz w:val="24"/>
          <w:szCs w:val="24"/>
          <w:rtl w:val="0"/>
        </w:rPr>
        <w:t xml:space="preserve">Instituto Nacional da Mata Atlântica, Avenida José Ruschi, 4, 29650-000, Santa Teresa, ES, Brazil.</w:t>
      </w:r>
      <w:r w:rsidDel="00000000" w:rsidR="00000000" w:rsidRPr="00000000">
        <w:rPr>
          <w:rtl w:val="0"/>
        </w:rPr>
      </w:r>
    </w:p>
    <w:p w:rsidR="00000000" w:rsidDel="00000000" w:rsidP="00000000" w:rsidRDefault="00000000" w:rsidRPr="00000000" w14:paraId="0000000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6 </w:t>
      </w:r>
      <w:r w:rsidDel="00000000" w:rsidR="00000000" w:rsidRPr="00000000">
        <w:rPr>
          <w:rFonts w:ascii="Times New Roman" w:cs="Times New Roman" w:eastAsia="Times New Roman" w:hAnsi="Times New Roman"/>
          <w:sz w:val="24"/>
          <w:szCs w:val="24"/>
          <w:rtl w:val="0"/>
        </w:rPr>
        <w:t xml:space="preserve">Ecology, Monitoring and Sustainable Use of Wetlands Research Group (MAUA), National</w:t>
      </w:r>
    </w:p>
    <w:p w:rsidR="00000000" w:rsidDel="00000000" w:rsidP="00000000" w:rsidRDefault="00000000" w:rsidRPr="00000000" w14:paraId="00000010">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Institute for Amazonian Research (INPA), Manaus, Brazil</w:t>
      </w:r>
    </w:p>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7 </w:t>
      </w:r>
      <w:r w:rsidDel="00000000" w:rsidR="00000000" w:rsidRPr="00000000">
        <w:rPr>
          <w:rFonts w:ascii="Times New Roman" w:cs="Times New Roman" w:eastAsia="Times New Roman" w:hAnsi="Times New Roman"/>
          <w:sz w:val="24"/>
          <w:szCs w:val="24"/>
          <w:rtl w:val="0"/>
        </w:rPr>
        <w:t xml:space="preserve">Eizia Asociación Civil. Calle C2 310, Colonia Vida Mejor, 29045, Tuxtla Gutiérrez, Chiapas, México.</w:t>
      </w:r>
    </w:p>
    <w:p w:rsidR="00000000" w:rsidDel="00000000" w:rsidP="00000000" w:rsidRDefault="00000000" w:rsidRPr="00000000" w14:paraId="000000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8 </w:t>
      </w:r>
      <w:r w:rsidDel="00000000" w:rsidR="00000000" w:rsidRPr="00000000">
        <w:rPr>
          <w:rFonts w:ascii="Times New Roman" w:cs="Times New Roman" w:eastAsia="Times New Roman" w:hAnsi="Times New Roman"/>
          <w:sz w:val="24"/>
          <w:szCs w:val="24"/>
          <w:rtl w:val="0"/>
        </w:rPr>
        <w:t xml:space="preserve">Universidade Regional de Blumenau, Herbário Dr. Roberto Miguel Klein, Rua Antônio da Veiga, 140, Itoupava Seca, Blumenau, Santa Catarina, Brazil</w:t>
      </w:r>
    </w:p>
    <w:p w:rsidR="00000000" w:rsidDel="00000000" w:rsidP="00000000" w:rsidRDefault="00000000" w:rsidRPr="00000000" w14:paraId="000000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9.</w:t>
      </w:r>
      <w:r w:rsidDel="00000000" w:rsidR="00000000" w:rsidRPr="00000000">
        <w:rPr>
          <w:rFonts w:ascii="Times New Roman" w:cs="Times New Roman" w:eastAsia="Times New Roman" w:hAnsi="Times New Roman"/>
          <w:sz w:val="24"/>
          <w:szCs w:val="24"/>
          <w:rtl w:val="0"/>
        </w:rPr>
        <w:t xml:space="preserve"> Jardin Botanico de Medellin, Medellin, Colombia</w:t>
      </w:r>
    </w:p>
    <w:p w:rsidR="00000000" w:rsidDel="00000000" w:rsidP="00000000" w:rsidRDefault="00000000" w:rsidRPr="00000000" w14:paraId="00000014">
      <w:pPr>
        <w:jc w:val="left"/>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Those authors contributed equally.</w:t>
      </w: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Corresponding author:</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maria.carmonahiguita@biologie.uni-marburg.de</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24"/>
          <w:szCs w:val="24"/>
          <w:rtl w:val="0"/>
        </w:rPr>
        <w:t xml:space="preserve">Received: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 Revised:</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(optional); Accepted:</w:t>
      </w:r>
      <w:r w:rsidDel="00000000" w:rsidR="00000000" w:rsidRPr="00000000">
        <w:rPr>
          <w:rFonts w:ascii="Times New Roman" w:cs="Times New Roman" w:eastAsia="Times New Roman" w:hAnsi="Times New Roman"/>
          <w:sz w:val="24"/>
          <w:szCs w:val="24"/>
          <w:u w:val="single"/>
          <w:rtl w:val="0"/>
        </w:rPr>
        <w:t xml:space="preserve">_______</w:t>
      </w:r>
      <w:r w:rsidDel="00000000" w:rsidR="00000000" w:rsidRPr="00000000">
        <w:br w:type="page"/>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Biased shortfalls</w:t>
      </w:r>
      <w:r w:rsidDel="00000000" w:rsidR="00000000" w:rsidRPr="00000000">
        <w:rPr>
          <w:rFonts w:ascii="Times New Roman" w:cs="Times New Roman" w:eastAsia="Times New Roman" w:hAnsi="Times New Roman"/>
          <w:sz w:val="24"/>
          <w:szCs w:val="24"/>
          <w:rtl w:val="0"/>
        </w:rPr>
        <w:t xml:space="preserve"> in biodiversity data availability limit our understanding of ecology, evolution, and conservation of tropical ecosystems. Vascular epiphytes (VE) represent nearly 10% of global vascular flora and up to 39% in the Neotropics. About 20% of VE species in this region are threatened with extinction, yet VE remains among the least studied plant groups. This study assesses the extent of taxonomic and geographic  biases in data availability for  the five species-richest VE families (Araceae, Bromeliaceae, Orchidaceae, Piperaceae, and Polypodiaceae) based on over 500,000 occurrence records. We evaluated taxonomic and geographic shortfalls at a 30-arc-minute resolution across biogeographic provinces using species accumulation curves and survey completeness. Our results show that 51.8% of Neotropical grid cells contain VE occurrence data, yet only 40.6% of species have more than 10 records. </w:t>
      </w:r>
      <w:r w:rsidDel="00000000" w:rsidR="00000000" w:rsidRPr="00000000">
        <w:rPr>
          <w:rFonts w:ascii="Times New Roman" w:cs="Times New Roman" w:eastAsia="Times New Roman" w:hAnsi="Times New Roman"/>
          <w:sz w:val="24"/>
          <w:szCs w:val="24"/>
          <w:rtl w:val="0"/>
        </w:rPr>
        <w:t xml:space="preserve">Taxonomic shortfalls are widespread, with only 15.4% of grid cells well-sampled while for the geographic shortfalls it only represented 0.05%. </w:t>
      </w:r>
      <w:r w:rsidDel="00000000" w:rsidR="00000000" w:rsidRPr="00000000">
        <w:rPr>
          <w:rFonts w:ascii="Times New Roman" w:cs="Times New Roman" w:eastAsia="Times New Roman" w:hAnsi="Times New Roman"/>
          <w:sz w:val="24"/>
          <w:szCs w:val="24"/>
          <w:rtl w:val="0"/>
        </w:rPr>
        <w:t xml:space="preserve">Hotspots of biodiversity shortfalls are in the mountainous region of Mexico, Central America, several regions in the Amazonia, the southeastern Brazil and the South American Southern Cone. Among families, Bromeliaceae and Araceae exhibit the highest taxonomic shortfalls, while Orchidaceae show the most pronounced geographic shortfalls, particularly in the Andes and Amazon. Our findings highlight major knowledge gaps in VE biodiversity data, affecting our understanding of species distributions and conservation planning. We recommend improving herbarium data curation, targeted field surveys, and strengthening collaborations with local institutions to enhance biodiversity data coverage in the Neotropics.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bias,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biodiversity data,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distribution, sampling biases, scientific ignorance, tropical plants, uncertainty </w:t>
      </w: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numPr>
          <w:ilvl w:val="0"/>
          <w:numId w:val="1"/>
        </w:numPr>
        <w:ind w:left="360" w:hanging="360"/>
        <w:rPr/>
      </w:pPr>
      <w:bookmarkStart w:colFirst="0" w:colLast="0" w:name="_heading=h.17dp8vu" w:id="5"/>
      <w:bookmarkEnd w:id="5"/>
      <w:r w:rsidDel="00000000" w:rsidR="00000000" w:rsidRPr="00000000">
        <w:rPr>
          <w:rtl w:val="0"/>
        </w:rPr>
        <w:t xml:space="preserve">INTRODUCTION</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biased availability of biodiversity data limits the understanding of the ecology and evolution of tropical plants and their conservation (Luján et al., 2023; Ondo et al., 2024). Two types of bias are particularly common: taxonomic bias, which arises from the uneven availability of species descriptions, systematic treatments, and distribution records across different taxa, and geographic bias, which results from the unequal availability of data across geographic regions (Antonelli et al., 2018; Feeley, 2015; ter Steege et al., 2016). Taxonomic and geographic bias are problematic for two reasons: first, undersampled regions or taxa </w:t>
      </w:r>
      <w:r w:rsidDel="00000000" w:rsidR="00000000" w:rsidRPr="00000000">
        <w:rPr>
          <w:color w:val="474747"/>
          <w:sz w:val="24"/>
          <w:szCs w:val="24"/>
          <w:rtl w:val="0"/>
        </w:rPr>
        <w:t xml:space="preserve">—</w:t>
      </w:r>
      <w:r w:rsidDel="00000000" w:rsidR="00000000" w:rsidRPr="00000000">
        <w:rPr>
          <w:rFonts w:ascii="Times New Roman" w:cs="Times New Roman" w:eastAsia="Times New Roman" w:hAnsi="Times New Roman"/>
          <w:sz w:val="24"/>
          <w:szCs w:val="24"/>
          <w:rtl w:val="0"/>
        </w:rPr>
        <w:t xml:space="preserve">diversity dark spots</w:t>
      </w:r>
      <w:r w:rsidDel="00000000" w:rsidR="00000000" w:rsidRPr="00000000">
        <w:rPr>
          <w:color w:val="474747"/>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may harbor undescribed species and hold crucial conservation value (Ondo et al., 2024; </w:t>
      </w:r>
      <w:r w:rsidDel="00000000" w:rsidR="00000000" w:rsidRPr="00000000">
        <w:rPr>
          <w:rFonts w:ascii="Times New Roman" w:cs="Times New Roman" w:eastAsia="Times New Roman" w:hAnsi="Times New Roman"/>
          <w:sz w:val="24"/>
          <w:szCs w:val="24"/>
          <w:rtl w:val="0"/>
        </w:rPr>
        <w:t xml:space="preserve">Carmona-Higuita et al., 2023; Ramos et al., 2021</w:t>
      </w:r>
      <w:r w:rsidDel="00000000" w:rsidR="00000000" w:rsidRPr="00000000">
        <w:rPr>
          <w:rFonts w:ascii="Times New Roman" w:cs="Times New Roman" w:eastAsia="Times New Roman" w:hAnsi="Times New Roman"/>
          <w:sz w:val="24"/>
          <w:szCs w:val="24"/>
          <w:rtl w:val="0"/>
        </w:rPr>
        <w:t xml:space="preserve">). Second, systematic biases </w:t>
      </w:r>
      <w:r w:rsidDel="00000000" w:rsidR="00000000" w:rsidRPr="00000000">
        <w:rPr>
          <w:rFonts w:ascii="Times New Roman" w:cs="Times New Roman" w:eastAsia="Times New Roman" w:hAnsi="Times New Roman"/>
          <w:sz w:val="24"/>
          <w:szCs w:val="24"/>
          <w:rtl w:val="0"/>
        </w:rPr>
        <w:t xml:space="preserve">lead to misinterpretations of species distributions </w:t>
      </w:r>
      <w:r w:rsidDel="00000000" w:rsidR="00000000" w:rsidRPr="00000000">
        <w:rPr>
          <w:rFonts w:ascii="Times New Roman" w:cs="Times New Roman" w:eastAsia="Times New Roman" w:hAnsi="Times New Roman"/>
          <w:sz w:val="24"/>
          <w:szCs w:val="24"/>
          <w:rtl w:val="0"/>
        </w:rPr>
        <w:t xml:space="preserve">and skew large-scale analyses (Meyer et al., 2015; Oliveira et al., 2016, </w:t>
      </w:r>
      <w:r w:rsidDel="00000000" w:rsidR="00000000" w:rsidRPr="00000000">
        <w:rPr>
          <w:rFonts w:ascii="Times New Roman" w:cs="Times New Roman" w:eastAsia="Times New Roman" w:hAnsi="Times New Roman"/>
          <w:sz w:val="24"/>
          <w:szCs w:val="24"/>
          <w:rtl w:val="0"/>
        </w:rPr>
        <w:t xml:space="preserve">Araujo et al., 2022</w:t>
      </w:r>
      <w:r w:rsidDel="00000000" w:rsidR="00000000" w:rsidRPr="00000000">
        <w:rPr>
          <w:rFonts w:ascii="Times New Roman" w:cs="Times New Roman" w:eastAsia="Times New Roman" w:hAnsi="Times New Roman"/>
          <w:sz w:val="24"/>
          <w:szCs w:val="24"/>
          <w:rtl w:val="0"/>
        </w:rPr>
        <w:t xml:space="preserve">). Integrating multiple data sources, such as national biodiversity platforms, herbarium collections, and citizen science records, has been suggested as a key strategy to mitigate these biases (Amano et al., 2016; Araujo et al., 2022; Jiménez-López, Carmona-Higuita, et al., 2023; Stropp et al., 2016). However, since the extent and strength of these biases often remain unknown, it is difficult to design targeted efforts to correct them or account for their effects in analyses.</w:t>
      </w:r>
    </w:p>
    <w:p w:rsidR="00000000" w:rsidDel="00000000" w:rsidP="00000000" w:rsidRDefault="00000000" w:rsidRPr="00000000" w14:paraId="00000021">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Neotropics house nearly 40% of the global plant diversity in 13% of the terrestrial surface area (Raven et al., 2020). A particular contribution to this diversity comes from vascular epiphytes (VE), which contribute up to 39% of species in some regions (Taylor et al., 2021) and as much as 50% of species in some locations (Kelly et al., 2004). VE diversity and distribution have historically served as a model for biogeographic and macroecological patterns in the Neotropics, </w:t>
      </w:r>
      <w:r w:rsidDel="00000000" w:rsidR="00000000" w:rsidRPr="00000000">
        <w:rPr>
          <w:rFonts w:ascii="Times New Roman" w:cs="Times New Roman" w:eastAsia="Times New Roman" w:hAnsi="Times New Roman"/>
          <w:sz w:val="24"/>
          <w:szCs w:val="24"/>
          <w:rtl w:val="0"/>
        </w:rPr>
        <w:t xml:space="preserve">useful</w:t>
      </w:r>
      <w:r w:rsidDel="00000000" w:rsidR="00000000" w:rsidRPr="00000000">
        <w:rPr>
          <w:rFonts w:ascii="Times New Roman" w:cs="Times New Roman" w:eastAsia="Times New Roman" w:hAnsi="Times New Roman"/>
          <w:sz w:val="24"/>
          <w:szCs w:val="24"/>
          <w:rtl w:val="0"/>
        </w:rPr>
        <w:t xml:space="preserve"> for elucidating ecological and evolutionary processes affecting all </w:t>
      </w:r>
      <w:r w:rsidDel="00000000" w:rsidR="00000000" w:rsidRPr="00000000">
        <w:rPr>
          <w:rFonts w:ascii="Times New Roman" w:cs="Times New Roman" w:eastAsia="Times New Roman" w:hAnsi="Times New Roman"/>
          <w:sz w:val="24"/>
          <w:szCs w:val="24"/>
          <w:rtl w:val="0"/>
        </w:rPr>
        <w:t xml:space="preserve">vascular</w:t>
      </w:r>
      <w:r w:rsidDel="00000000" w:rsidR="00000000" w:rsidRPr="00000000">
        <w:rPr>
          <w:rFonts w:ascii="Times New Roman" w:cs="Times New Roman" w:eastAsia="Times New Roman" w:hAnsi="Times New Roman"/>
          <w:sz w:val="24"/>
          <w:szCs w:val="24"/>
          <w:rtl w:val="0"/>
        </w:rPr>
        <w:t xml:space="preserve"> plants and trees in particular (Freitas et al., 2016; Taylor et al., 2023). For </w:t>
      </w:r>
      <w:r w:rsidDel="00000000" w:rsidR="00000000" w:rsidRPr="00000000">
        <w:rPr>
          <w:rFonts w:ascii="Times New Roman" w:cs="Times New Roman" w:eastAsia="Times New Roman" w:hAnsi="Times New Roman"/>
          <w:sz w:val="24"/>
          <w:szCs w:val="24"/>
          <w:rtl w:val="0"/>
        </w:rPr>
        <w:t xml:space="preserve">instance</w:t>
      </w:r>
      <w:r w:rsidDel="00000000" w:rsidR="00000000" w:rsidRPr="00000000">
        <w:rPr>
          <w:rFonts w:ascii="Times New Roman" w:cs="Times New Roman" w:eastAsia="Times New Roman" w:hAnsi="Times New Roman"/>
          <w:sz w:val="24"/>
          <w:szCs w:val="24"/>
          <w:rtl w:val="0"/>
        </w:rPr>
        <w:t xml:space="preserve">, analyzing VE diversity patterns in the Neotropics has confirmed that biogeographic provinces such as the Páramo, Cauca, and Atlantic Forest exhibit high richness and endemism in plants and animals  (Carmona‐Higuita et al., 2025). Furthermore, epiphytes' sensitivity to climatic gradients, habitat heterogeneity, and disturbances makes them indicators of ecosystem function and environmental change (Cardelus et al., 2006). Their reliance on atmospheric moisture and their often restricted distributions (Kreft et al. 2004), make them </w:t>
      </w:r>
      <w:r w:rsidDel="00000000" w:rsidR="00000000" w:rsidRPr="00000000">
        <w:rPr>
          <w:rFonts w:ascii="Times New Roman" w:cs="Times New Roman" w:eastAsia="Times New Roman" w:hAnsi="Times New Roman"/>
          <w:sz w:val="24"/>
          <w:szCs w:val="24"/>
          <w:rtl w:val="0"/>
        </w:rPr>
        <w:t xml:space="preserve">particularly</w:t>
      </w:r>
      <w:r w:rsidDel="00000000" w:rsidR="00000000" w:rsidRPr="00000000">
        <w:rPr>
          <w:rFonts w:ascii="Times New Roman" w:cs="Times New Roman" w:eastAsia="Times New Roman" w:hAnsi="Times New Roman"/>
          <w:sz w:val="24"/>
          <w:szCs w:val="24"/>
          <w:rtl w:val="0"/>
        </w:rPr>
        <w:t xml:space="preserve"> sensitive to changes in climate or disturbance regime, helpful as an early-warning system for ecosystems reaction to environmental changes (Benavides et al., 2005). Additionally, VE are </w:t>
      </w:r>
      <w:r w:rsidDel="00000000" w:rsidR="00000000" w:rsidRPr="00000000">
        <w:rPr>
          <w:rFonts w:ascii="Times New Roman" w:cs="Times New Roman" w:eastAsia="Times New Roman" w:hAnsi="Times New Roman"/>
          <w:sz w:val="24"/>
          <w:szCs w:val="24"/>
          <w:rtl w:val="0"/>
        </w:rPr>
        <w:t xml:space="preserve">essential parts of ecosystems in their own right, playing an important role in nutrient cycling and providing microhabitats for other organisms (Benzing, 1990; Woods et al., 2015).</w:t>
      </w:r>
      <w:r w:rsidDel="00000000" w:rsidR="00000000" w:rsidRPr="00000000">
        <w:rPr>
          <w:rtl w:val="0"/>
        </w:rPr>
      </w:r>
    </w:p>
    <w:p w:rsidR="00000000" w:rsidDel="00000000" w:rsidP="00000000" w:rsidRDefault="00000000" w:rsidRPr="00000000" w14:paraId="00000022">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recent advancements in data mobilization for VE in the Neotropics (Guzmán-Jacob et al., 2021; Mendieta-Leiva et al., 2020; Quaresma et al., 2022; Ramos et al., 2019, 2024), critical knowledge gaps remain. Vast areas of the Neotropics are poorly documented (Araujo &amp; Ramos, 2021; Carmona‐Higuita et al., 2025; Vargas et al., 2022), but with unclear differences among taxa and regions. Understanding and addressing these gaps is crucial to improve the reliability of biodiversity assessments and make better informed decisions about conservation strategies, ensuring that efforts are focused on areas and species most at risk (Hortal et al., 2015; Mendieta-Leiva &amp; Zotz, 2015). In this study, we assess the patterns of taxonomic and geographic sampling bias (the Linnean and Wallacean shortfalls </w:t>
      </w:r>
      <w:r w:rsidDel="00000000" w:rsidR="00000000" w:rsidRPr="00000000">
        <w:rPr>
          <w:rFonts w:ascii="Times New Roman" w:cs="Times New Roman" w:eastAsia="Times New Roman" w:hAnsi="Times New Roman"/>
          <w:i w:val="1"/>
          <w:sz w:val="24"/>
          <w:szCs w:val="24"/>
          <w:rtl w:val="0"/>
        </w:rPr>
        <w:t xml:space="preserve">sensu </w:t>
      </w:r>
      <w:r w:rsidDel="00000000" w:rsidR="00000000" w:rsidRPr="00000000">
        <w:rPr>
          <w:rFonts w:ascii="Times New Roman" w:cs="Times New Roman" w:eastAsia="Times New Roman" w:hAnsi="Times New Roman"/>
          <w:sz w:val="24"/>
          <w:szCs w:val="24"/>
          <w:rtl w:val="0"/>
        </w:rPr>
        <w:t xml:space="preserve">Hortal, 2015) of VE in the Neotropics. Specifically, we: </w:t>
      </w:r>
    </w:p>
    <w:p w:rsidR="00000000" w:rsidDel="00000000" w:rsidP="00000000" w:rsidRDefault="00000000" w:rsidRPr="00000000" w14:paraId="00000023">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identify biogeographic provinces and grid cells with significant taxonomic and geographic shortfalls (spatial patterns of biodiversity shortfalls).</w:t>
      </w:r>
    </w:p>
    <w:p w:rsidR="00000000" w:rsidDel="00000000" w:rsidP="00000000" w:rsidRDefault="00000000" w:rsidRPr="00000000" w14:paraId="00000024">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determine families most affected by taxonomic (Linnean) and geographic (Wallacean) shortfalls (taxonomic patterns of biodiversity shortfalls)</w:t>
      </w:r>
    </w:p>
    <w:p w:rsidR="00000000" w:rsidDel="00000000" w:rsidP="00000000" w:rsidRDefault="00000000" w:rsidRPr="00000000" w14:paraId="00000025">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describe areas of high and low concentration of biodiversity shortfalls, identifying priority areas for future sampling based </w:t>
      </w:r>
      <w:r w:rsidDel="00000000" w:rsidR="00000000" w:rsidRPr="00000000">
        <w:rPr>
          <w:rFonts w:ascii="Times New Roman" w:cs="Times New Roman" w:eastAsia="Times New Roman" w:hAnsi="Times New Roman"/>
          <w:sz w:val="24"/>
          <w:szCs w:val="24"/>
          <w:rtl w:val="0"/>
        </w:rPr>
        <w:t xml:space="preserve">on biodiversity shortfalls </w:t>
      </w:r>
      <w:r w:rsidDel="00000000" w:rsidR="00000000" w:rsidRPr="00000000">
        <w:rPr>
          <w:rFonts w:ascii="Times New Roman" w:cs="Times New Roman" w:eastAsia="Times New Roman" w:hAnsi="Times New Roman"/>
          <w:sz w:val="24"/>
          <w:szCs w:val="24"/>
          <w:rtl w:val="0"/>
        </w:rPr>
        <w:t xml:space="preserve">(Hot- and coldspots)</w:t>
      </w:r>
    </w:p>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1"/>
        <w:numPr>
          <w:ilvl w:val="0"/>
          <w:numId w:val="1"/>
        </w:numPr>
        <w:ind w:left="360" w:hanging="360"/>
        <w:rPr/>
      </w:pPr>
      <w:bookmarkStart w:colFirst="0" w:colLast="0" w:name="_heading=h.rfqcin18j5qo" w:id="6"/>
      <w:bookmarkEnd w:id="6"/>
      <w:r w:rsidDel="00000000" w:rsidR="00000000" w:rsidRPr="00000000">
        <w:rPr>
          <w:rtl w:val="0"/>
        </w:rPr>
        <w:t xml:space="preserve">METHODS</w:t>
      </w:r>
    </w:p>
    <w:p w:rsidR="00000000" w:rsidDel="00000000" w:rsidP="00000000" w:rsidRDefault="00000000" w:rsidRPr="00000000" w14:paraId="00000028">
      <w:pPr>
        <w:jc w:val="left"/>
        <w:rPr>
          <w:rFonts w:ascii="Times New Roman" w:cs="Times New Roman" w:eastAsia="Times New Roman" w:hAnsi="Times New Roman"/>
          <w:sz w:val="24"/>
          <w:szCs w:val="24"/>
        </w:rPr>
      </w:pPr>
      <w:bookmarkStart w:colFirst="0" w:colLast="0" w:name="_heading=h.lnxbz9" w:id="7"/>
      <w:bookmarkEnd w:id="7"/>
      <w:r w:rsidDel="00000000" w:rsidR="00000000" w:rsidRPr="00000000">
        <w:rPr>
          <w:rtl w:val="0"/>
        </w:rPr>
      </w:r>
    </w:p>
    <w:p w:rsidR="00000000" w:rsidDel="00000000" w:rsidP="00000000" w:rsidRDefault="00000000" w:rsidRPr="00000000" w14:paraId="00000029">
      <w:pPr>
        <w:pStyle w:val="Heading2"/>
        <w:rPr/>
      </w:pPr>
      <w:bookmarkStart w:colFirst="0" w:colLast="0" w:name="_heading=h.lbmmuqx8811z" w:id="8"/>
      <w:bookmarkEnd w:id="8"/>
      <w:r w:rsidDel="00000000" w:rsidR="00000000" w:rsidRPr="00000000">
        <w:rPr>
          <w:rtl w:val="0"/>
        </w:rPr>
        <w:t xml:space="preserve">1. Dataset</w:t>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basis for all analyses, we used an existing database including more than 500,000 geo-referenced occurrence records of species of the five most species-rich families of vascular epiphytes (VE): Araceae, Bromeliaceae, Orchidaceae, Piperaceae, and Polypodiaceae (Carmona‐Higuita et al., 2023). This database to our knowledge is the most complete representation of VE distribution to date and integrates data from the Global biodiversity Information Facility (www.gbif.org), and a dedicated non-public epiphyte databases (Epiphyte Inventory Group EPIG-DB v1 database; Mendieta-Leiva et al., 2020), enriched with data from the literature on Atlantic epiphytes (Ramos et al., 2019), Amazonian epiphytes (Araujo et al., 2022), South American Dry Diagonal Forest Epiphytes database (Ramos et al., 2024), Epiphytes of the Sierra Madre of Chiapas (Jiménez-López, Carmona-Higuita, et al., 2023), Usumacinta River basin flora (Jiménez-López, Gallardo-Cruz, et al., 2023), Biovera-Epi (Guzmán-Jacob et al., 2021), as well as unpublished data of Neotropical Araceae (Alejandro Zuluaga, unpublished data), Polypodiaceae of America (Michael Kessler, unpublished data), Marie Selby Botanical Gardens herbarium (Bruce Holst, unpublished data) and records in 700 papers and theses </w:t>
      </w:r>
      <w:r w:rsidDel="00000000" w:rsidR="00000000" w:rsidRPr="00000000">
        <w:rPr>
          <w:rFonts w:ascii="Times New Roman" w:cs="Times New Roman" w:eastAsia="Times New Roman" w:hAnsi="Times New Roman"/>
          <w:color w:val="000000"/>
          <w:sz w:val="24"/>
          <w:szCs w:val="24"/>
          <w:rtl w:val="0"/>
        </w:rPr>
        <w:t xml:space="preserve">(see complete list of 700 references in TS3.2, Carmona-Higuita et al., 2023). </w:t>
      </w:r>
      <w:r w:rsidDel="00000000" w:rsidR="00000000" w:rsidRPr="00000000">
        <w:rPr>
          <w:rFonts w:ascii="Times New Roman" w:cs="Times New Roman" w:eastAsia="Times New Roman" w:hAnsi="Times New Roman"/>
          <w:sz w:val="24"/>
          <w:szCs w:val="24"/>
          <w:rtl w:val="0"/>
        </w:rPr>
        <w:t xml:space="preserve">Geographic and taxonomic errors were already addressed in this dataset, and all data was cropped to the Neotropics (Morrone et al., 2022). For the detailed process, see Carmona-Higuita et al. (2023). To enhance taxonomic consistency, we resolved species names to a curated taxonomic backbone (Epiphyte Inventory Group, 2025), which includes the worldwide epiphyte list, EpiList v.1.0 (Zotz et al., 2021), and additional data from EpIG-DB v.1.0 (Mendieta-Leiva et al., 2020). We also eliminated geographic duplicate entries within the same grid cell.</w:t>
      </w:r>
    </w:p>
    <w:p w:rsidR="00000000" w:rsidDel="00000000" w:rsidP="00000000" w:rsidRDefault="00000000" w:rsidRPr="00000000" w14:paraId="0000002B">
      <w:pPr>
        <w:pStyle w:val="Heading2"/>
        <w:rPr/>
      </w:pPr>
      <w:bookmarkStart w:colFirst="0" w:colLast="0" w:name="_heading=h.1ksv4uv" w:id="9"/>
      <w:bookmarkEnd w:id="9"/>
      <w:r w:rsidDel="00000000" w:rsidR="00000000" w:rsidRPr="00000000">
        <w:rPr>
          <w:rtl w:val="0"/>
        </w:rPr>
        <w:t xml:space="preserve">2. Biodiversity shortfalls</w:t>
      </w:r>
    </w:p>
    <w:p w:rsidR="00000000" w:rsidDel="00000000" w:rsidP="00000000" w:rsidRDefault="00000000" w:rsidRPr="00000000" w14:paraId="000000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biodiversity shortfalls, we focused on taxonomic (Linnean) and geographic (Wallacean) shortfalls at the level of </w:t>
      </w:r>
      <w:r w:rsidDel="00000000" w:rsidR="00000000" w:rsidRPr="00000000">
        <w:rPr>
          <w:rFonts w:ascii="Times New Roman" w:cs="Times New Roman" w:eastAsia="Times New Roman" w:hAnsi="Times New Roman"/>
          <w:sz w:val="24"/>
          <w:szCs w:val="24"/>
          <w:rtl w:val="0"/>
        </w:rPr>
        <w:t xml:space="preserve">grid cells at 30 arc-minute resolution (ca. 55 km at the equator). </w:t>
      </w:r>
      <w:r w:rsidDel="00000000" w:rsidR="00000000" w:rsidRPr="00000000">
        <w:rPr>
          <w:rFonts w:ascii="Times New Roman" w:cs="Times New Roman" w:eastAsia="Times New Roman" w:hAnsi="Times New Roman"/>
          <w:sz w:val="24"/>
          <w:szCs w:val="24"/>
          <w:rtl w:val="0"/>
        </w:rPr>
        <w:t xml:space="preserve">We estimated the degree of completeness of each grid cell using the KnowBR package (Lobo et al. 2018; </w:t>
      </w:r>
      <w:r w:rsidDel="00000000" w:rsidR="00000000" w:rsidRPr="00000000">
        <w:rPr>
          <w:rFonts w:ascii="Times New Roman" w:cs="Times New Roman" w:eastAsia="Times New Roman" w:hAnsi="Times New Roman"/>
          <w:sz w:val="24"/>
          <w:szCs w:val="24"/>
          <w:rtl w:val="0"/>
        </w:rPr>
        <w:t xml:space="preserve">Guisande </w:t>
      </w:r>
      <w:r w:rsidDel="00000000" w:rsidR="00000000" w:rsidRPr="00000000">
        <w:rPr>
          <w:rFonts w:ascii="Times New Roman" w:cs="Times New Roman" w:eastAsia="Times New Roman" w:hAnsi="Times New Roman"/>
          <w:sz w:val="24"/>
          <w:szCs w:val="24"/>
          <w:rtl w:val="0"/>
        </w:rPr>
        <w:t xml:space="preserve">and Lobo 2019), which examines species accumulation by adding occurrence records. These accumulation curves were performed simultaneously for all the cells in the Neotropics applying the exact estimator proposed by Ugland et al. (2003). KnowBR estimates the three parameters: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final </w:t>
      </w:r>
      <w:r w:rsidDel="00000000" w:rsidR="00000000" w:rsidRPr="00000000">
        <w:rPr>
          <w:rFonts w:ascii="Times New Roman" w:cs="Times New Roman" w:eastAsia="Times New Roman" w:hAnsi="Times New Roman"/>
          <w:i w:val="1"/>
          <w:sz w:val="24"/>
          <w:szCs w:val="24"/>
          <w:rtl w:val="0"/>
        </w:rPr>
        <w:t xml:space="preserve">slope</w:t>
      </w:r>
      <w:r w:rsidDel="00000000" w:rsidR="00000000" w:rsidRPr="00000000">
        <w:rPr>
          <w:rFonts w:ascii="Times New Roman" w:cs="Times New Roman" w:eastAsia="Times New Roman" w:hAnsi="Times New Roman"/>
          <w:sz w:val="24"/>
          <w:szCs w:val="24"/>
          <w:rtl w:val="0"/>
        </w:rPr>
        <w:t xml:space="preserve"> of the accumulation curve, the </w:t>
      </w:r>
      <w:r w:rsidDel="00000000" w:rsidR="00000000" w:rsidRPr="00000000">
        <w:rPr>
          <w:rFonts w:ascii="Times New Roman" w:cs="Times New Roman" w:eastAsia="Times New Roman" w:hAnsi="Times New Roman"/>
          <w:i w:val="1"/>
          <w:sz w:val="24"/>
          <w:szCs w:val="24"/>
          <w:rtl w:val="0"/>
        </w:rPr>
        <w:t xml:space="preserve">completeness</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i w:val="1"/>
          <w:sz w:val="24"/>
          <w:szCs w:val="24"/>
          <w:rtl w:val="0"/>
        </w:rPr>
        <w:t xml:space="preserve">ratio </w:t>
      </w:r>
      <w:r w:rsidDel="00000000" w:rsidR="00000000" w:rsidRPr="00000000">
        <w:rPr>
          <w:rFonts w:ascii="Times New Roman" w:cs="Times New Roman" w:eastAsia="Times New Roman" w:hAnsi="Times New Roman"/>
          <w:sz w:val="24"/>
          <w:szCs w:val="24"/>
          <w:rtl w:val="0"/>
        </w:rPr>
        <w:t xml:space="preserve">between the number of database records and the number of species. Completeness values (i.e. the percentage of species that have been documented over the total predicted) were calculated after adjusting the accumulation curves to a ran exponential model (Lobo et al. 2018).</w:t>
      </w:r>
    </w:p>
    <w:p w:rsidR="00000000" w:rsidDel="00000000" w:rsidP="00000000" w:rsidRDefault="00000000" w:rsidRPr="00000000" w14:paraId="0000002D">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o assess the taxonomic shortfall (Linnean Shortfall) </w:t>
      </w:r>
      <w:r w:rsidDel="00000000" w:rsidR="00000000" w:rsidRPr="00000000">
        <w:rPr>
          <w:rFonts w:ascii="Times New Roman" w:cs="Times New Roman" w:eastAsia="Times New Roman" w:hAnsi="Times New Roman"/>
          <w:sz w:val="24"/>
          <w:szCs w:val="24"/>
          <w:rtl w:val="0"/>
        </w:rPr>
        <w:t xml:space="preserve">we used as a proxy the slope of species accumulation curves as it represents the rate of new species discovery as sampling effort increases (Ugland et al., 2003; Lobo et al., 2018). This approach is based on the premise that the taxonomic shortfall highlights the discrepancy between the number of formally described species and the actual number of species present (Hortal et al., 2015). Grid cells were classified into quartiles based on their slope values: the first quartile </w:t>
      </w:r>
      <w:r w:rsidDel="00000000" w:rsidR="00000000" w:rsidRPr="00000000">
        <w:rPr>
          <w:rFonts w:ascii="Times New Roman" w:cs="Times New Roman" w:eastAsia="Times New Roman" w:hAnsi="Times New Roman"/>
          <w:sz w:val="24"/>
          <w:szCs w:val="24"/>
          <w:rtl w:val="0"/>
        </w:rPr>
        <w:t xml:space="preserve">represented the least sampled cells, while the fourth quartile included the best-sampled ones. Intermediate quartiles</w:t>
      </w:r>
      <w:r w:rsidDel="00000000" w:rsidR="00000000" w:rsidRPr="00000000">
        <w:rPr>
          <w:rFonts w:ascii="Times New Roman" w:cs="Times New Roman" w:eastAsia="Times New Roman" w:hAnsi="Times New Roman"/>
          <w:sz w:val="24"/>
          <w:szCs w:val="24"/>
          <w:rtl w:val="0"/>
        </w:rPr>
        <w:t xml:space="preserve"> corresponded to fairly sampled areas, with a gradient of increasing sampling effort.</w:t>
      </w:r>
    </w:p>
    <w:p w:rsidR="00000000" w:rsidDel="00000000" w:rsidP="00000000" w:rsidRDefault="00000000" w:rsidRPr="00000000" w14:paraId="0000002E">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the geographic shortfall (Wallacean Shortfall) we combined all the three parameters calculated by KnowBR: the final </w:t>
      </w:r>
      <w:r w:rsidDel="00000000" w:rsidR="00000000" w:rsidRPr="00000000">
        <w:rPr>
          <w:rFonts w:ascii="Times New Roman" w:cs="Times New Roman" w:eastAsia="Times New Roman" w:hAnsi="Times New Roman"/>
          <w:i w:val="1"/>
          <w:sz w:val="24"/>
          <w:szCs w:val="24"/>
          <w:rtl w:val="0"/>
        </w:rPr>
        <w:t xml:space="preserve">slope </w:t>
      </w:r>
      <w:r w:rsidDel="00000000" w:rsidR="00000000" w:rsidRPr="00000000">
        <w:rPr>
          <w:rFonts w:ascii="Times New Roman" w:cs="Times New Roman" w:eastAsia="Times New Roman" w:hAnsi="Times New Roman"/>
          <w:sz w:val="24"/>
          <w:szCs w:val="24"/>
          <w:rtl w:val="0"/>
        </w:rPr>
        <w:t xml:space="preserve">of the accumulation curve, the </w:t>
      </w:r>
      <w:r w:rsidDel="00000000" w:rsidR="00000000" w:rsidRPr="00000000">
        <w:rPr>
          <w:rFonts w:ascii="Times New Roman" w:cs="Times New Roman" w:eastAsia="Times New Roman" w:hAnsi="Times New Roman"/>
          <w:i w:val="1"/>
          <w:sz w:val="24"/>
          <w:szCs w:val="24"/>
          <w:rtl w:val="0"/>
        </w:rPr>
        <w:t xml:space="preserve">completeness</w:t>
      </w:r>
      <w:r w:rsidDel="00000000" w:rsidR="00000000" w:rsidRPr="00000000">
        <w:rPr>
          <w:rFonts w:ascii="Times New Roman" w:cs="Times New Roman" w:eastAsia="Times New Roman" w:hAnsi="Times New Roman"/>
          <w:sz w:val="24"/>
          <w:szCs w:val="24"/>
          <w:rtl w:val="0"/>
        </w:rPr>
        <w:t xml:space="preserve"> of each cell inventory, and the </w:t>
      </w:r>
      <w:r w:rsidDel="00000000" w:rsidR="00000000" w:rsidRPr="00000000">
        <w:rPr>
          <w:rFonts w:ascii="Times New Roman" w:cs="Times New Roman" w:eastAsia="Times New Roman" w:hAnsi="Times New Roman"/>
          <w:i w:val="1"/>
          <w:sz w:val="24"/>
          <w:szCs w:val="24"/>
          <w:rtl w:val="0"/>
        </w:rPr>
        <w:t xml:space="preserve">ratio </w:t>
      </w:r>
      <w:r w:rsidDel="00000000" w:rsidR="00000000" w:rsidRPr="00000000">
        <w:rPr>
          <w:rFonts w:ascii="Times New Roman" w:cs="Times New Roman" w:eastAsia="Times New Roman" w:hAnsi="Times New Roman"/>
          <w:sz w:val="24"/>
          <w:szCs w:val="24"/>
          <w:rtl w:val="0"/>
        </w:rPr>
        <w:t xml:space="preserve">between the number of database records and the number of species (R/S ratio). The default values used to distinguish well-sampled, and poorly-sampled cells or polygons were: </w:t>
      </w:r>
      <w:r w:rsidDel="00000000" w:rsidR="00000000" w:rsidRPr="00000000">
        <w:rPr>
          <w:rFonts w:ascii="Times New Roman" w:cs="Times New Roman" w:eastAsia="Times New Roman" w:hAnsi="Times New Roman"/>
          <w:sz w:val="24"/>
          <w:szCs w:val="24"/>
          <w:rtl w:val="0"/>
        </w:rPr>
        <w:t xml:space="preserve">slope &lt;0.02, completeness &gt;90% and R/S ratio &gt;15 for well-sampled spatial units, and slope &gt;0.3, completeness &lt;50% and R/S ratio &lt;3</w:t>
      </w:r>
      <w:r w:rsidDel="00000000" w:rsidR="00000000" w:rsidRPr="00000000">
        <w:rPr>
          <w:rFonts w:ascii="Times New Roman" w:cs="Times New Roman" w:eastAsia="Times New Roman" w:hAnsi="Times New Roman"/>
          <w:sz w:val="24"/>
          <w:szCs w:val="24"/>
          <w:rtl w:val="0"/>
        </w:rPr>
        <w:t xml:space="preserve"> for poorly-sampled spatial units, </w:t>
      </w:r>
      <w:r w:rsidDel="00000000" w:rsidR="00000000" w:rsidRPr="00000000">
        <w:rPr>
          <w:rFonts w:ascii="Times New Roman" w:cs="Times New Roman" w:eastAsia="Times New Roman" w:hAnsi="Times New Roman"/>
          <w:sz w:val="24"/>
          <w:szCs w:val="24"/>
          <w:rtl w:val="0"/>
        </w:rPr>
        <w:t xml:space="preserve">the cells in between these values are considered as fairly sampled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ind w:firstLine="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analyses were performed using a Lambert azimuthal equal-area projection, while visualization was reprojected to Behrman </w:t>
      </w:r>
      <w:r w:rsidDel="00000000" w:rsidR="00000000" w:rsidRPr="00000000">
        <w:rPr>
          <w:rFonts w:ascii="Times New Roman" w:cs="Times New Roman" w:eastAsia="Times New Roman" w:hAnsi="Times New Roman"/>
          <w:color w:val="000000"/>
          <w:sz w:val="24"/>
          <w:szCs w:val="24"/>
          <w:rtl w:val="0"/>
        </w:rPr>
        <w:t xml:space="preserve">equal-area</w:t>
      </w:r>
      <w:r w:rsidDel="00000000" w:rsidR="00000000" w:rsidRPr="00000000">
        <w:rPr>
          <w:rFonts w:ascii="Times New Roman" w:cs="Times New Roman" w:eastAsia="Times New Roman" w:hAnsi="Times New Roman"/>
          <w:color w:val="000000"/>
          <w:sz w:val="24"/>
          <w:szCs w:val="24"/>
          <w:rtl w:val="0"/>
        </w:rPr>
        <w:t xml:space="preserve"> projection to avoid distortion far from the tropics. We removed poorly sampled grid cells containing less than 10 records overall for all analyses.</w:t>
      </w:r>
    </w:p>
    <w:p w:rsidR="00000000" w:rsidDel="00000000" w:rsidP="00000000" w:rsidRDefault="00000000" w:rsidRPr="00000000" w14:paraId="00000030">
      <w:pPr>
        <w:pStyle w:val="Heading2"/>
        <w:jc w:val="left"/>
        <w:rPr/>
      </w:pPr>
      <w:bookmarkStart w:colFirst="0" w:colLast="0" w:name="_heading=h.bz5tl8nx6kfi" w:id="10"/>
      <w:bookmarkEnd w:id="10"/>
      <w:r w:rsidDel="00000000" w:rsidR="00000000" w:rsidRPr="00000000">
        <w:rPr>
          <w:rtl w:val="0"/>
        </w:rPr>
        <w:t xml:space="preserve">3. Spatial and family patterns of biodiversity shortfalls</w:t>
      </w:r>
    </w:p>
    <w:p w:rsidR="00000000" w:rsidDel="00000000" w:rsidP="00000000" w:rsidRDefault="00000000" w:rsidRPr="00000000" w14:paraId="00000031">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first examined the spatial distribution of occurrence records to identify potential biases in data availability across biogeographic provinces (as defined in Morrone et al., 2022). We quantified the density of records per province and assessed whether data collection was skewed toward specific areas, for instance related to greater accessibility or higher research </w:t>
      </w:r>
      <w:r w:rsidDel="00000000" w:rsidR="00000000" w:rsidRPr="00000000">
        <w:rPr>
          <w:rFonts w:ascii="Times New Roman" w:cs="Times New Roman" w:eastAsia="Times New Roman" w:hAnsi="Times New Roman"/>
          <w:color w:val="000000"/>
          <w:sz w:val="24"/>
          <w:szCs w:val="24"/>
          <w:rtl w:val="0"/>
        </w:rPr>
        <w:t xml:space="preserve">investment</w:t>
      </w:r>
      <w:r w:rsidDel="00000000" w:rsidR="00000000" w:rsidRPr="00000000">
        <w:rPr>
          <w:rFonts w:ascii="Times New Roman" w:cs="Times New Roman" w:eastAsia="Times New Roman" w:hAnsi="Times New Roman"/>
          <w:color w:val="000000"/>
          <w:sz w:val="24"/>
          <w:szCs w:val="24"/>
          <w:rtl w:val="0"/>
        </w:rPr>
        <w:t xml:space="preserve">. We assessed spatial patterns of shortfalls by examining how both taxonomic and geographic shortfalls vary across different biogeographic provinces. W</w:t>
      </w:r>
      <w:r w:rsidDel="00000000" w:rsidR="00000000" w:rsidRPr="00000000">
        <w:rPr>
          <w:rFonts w:ascii="Times New Roman" w:cs="Times New Roman" w:eastAsia="Times New Roman" w:hAnsi="Times New Roman"/>
          <w:color w:val="000000"/>
          <w:sz w:val="24"/>
          <w:szCs w:val="24"/>
          <w:rtl w:val="0"/>
        </w:rPr>
        <w:t xml:space="preserve">e also describe which families were most affected by taxonomic and geographic shortfalls.</w:t>
      </w:r>
      <w:r w:rsidDel="00000000" w:rsidR="00000000" w:rsidRPr="00000000">
        <w:rPr>
          <w:rtl w:val="0"/>
        </w:rPr>
      </w:r>
    </w:p>
    <w:p w:rsidR="00000000" w:rsidDel="00000000" w:rsidP="00000000" w:rsidRDefault="00000000" w:rsidRPr="00000000" w14:paraId="00000032">
      <w:pPr>
        <w:pStyle w:val="Heading2"/>
        <w:jc w:val="left"/>
        <w:rPr/>
      </w:pPr>
      <w:bookmarkStart w:colFirst="0" w:colLast="0" w:name="_heading=h.dw5mvlt9qlgy" w:id="11"/>
      <w:bookmarkEnd w:id="11"/>
      <w:r w:rsidDel="00000000" w:rsidR="00000000" w:rsidRPr="00000000">
        <w:rPr>
          <w:rtl w:val="0"/>
        </w:rPr>
        <w:t xml:space="preserve">4. Hotspots and coldspots </w:t>
      </w:r>
      <w:r w:rsidDel="00000000" w:rsidR="00000000" w:rsidRPr="00000000">
        <w:rPr>
          <w:color w:val="000000"/>
          <w:rtl w:val="0"/>
        </w:rPr>
        <w:t xml:space="preserve">of biodiversity shortfalls</w:t>
      </w: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defined hotspots as spatial clustering of the biodiversity shortfall using the Getis-Ord Gi* statistic (Getis &amp; Ord, 1992, </w:t>
      </w:r>
      <w:r w:rsidDel="00000000" w:rsidR="00000000" w:rsidRPr="00000000">
        <w:rPr>
          <w:rFonts w:ascii="Times New Roman" w:cs="Times New Roman" w:eastAsia="Times New Roman" w:hAnsi="Times New Roman"/>
          <w:i w:val="1"/>
          <w:sz w:val="24"/>
          <w:szCs w:val="24"/>
          <w:rtl w:val="0"/>
        </w:rPr>
        <w:t xml:space="preserve">sensu </w:t>
      </w:r>
      <w:r w:rsidDel="00000000" w:rsidR="00000000" w:rsidRPr="00000000">
        <w:rPr>
          <w:rFonts w:ascii="Times New Roman" w:cs="Times New Roman" w:eastAsia="Times New Roman" w:hAnsi="Times New Roman"/>
          <w:sz w:val="24"/>
          <w:szCs w:val="24"/>
          <w:rtl w:val="0"/>
        </w:rPr>
        <w:t xml:space="preserve">Ramírez‐Barahona et al. 2023</w:t>
      </w:r>
      <w:r w:rsidDel="00000000" w:rsidR="00000000" w:rsidRPr="00000000">
        <w:rPr>
          <w:rFonts w:ascii="Times New Roman" w:cs="Times New Roman" w:eastAsia="Times New Roman" w:hAnsi="Times New Roman"/>
          <w:sz w:val="24"/>
          <w:szCs w:val="24"/>
          <w:rtl w:val="0"/>
        </w:rPr>
        <w:t xml:space="preserve">), which</w:t>
      </w:r>
      <w:r w:rsidDel="00000000" w:rsidR="00000000" w:rsidRPr="00000000">
        <w:rPr>
          <w:rFonts w:ascii="Times New Roman" w:cs="Times New Roman" w:eastAsia="Times New Roman" w:hAnsi="Times New Roman"/>
          <w:sz w:val="24"/>
          <w:szCs w:val="24"/>
          <w:rtl w:val="0"/>
        </w:rPr>
        <w:t xml:space="preserve"> allows the detection of a local concentration of high and low values ​​in neighboring grids, </w:t>
      </w:r>
      <w:r w:rsidDel="00000000" w:rsidR="00000000" w:rsidRPr="00000000">
        <w:rPr>
          <w:rFonts w:ascii="Times New Roman" w:cs="Times New Roman" w:eastAsia="Times New Roman" w:hAnsi="Times New Roman"/>
          <w:sz w:val="24"/>
          <w:szCs w:val="24"/>
          <w:rtl w:val="0"/>
        </w:rPr>
        <w:t xml:space="preserve">using a </w:t>
      </w:r>
      <w:r w:rsidDel="00000000" w:rsidR="00000000" w:rsidRPr="00000000">
        <w:rPr>
          <w:rFonts w:ascii="Times New Roman" w:cs="Times New Roman" w:eastAsia="Times New Roman" w:hAnsi="Times New Roman"/>
          <w:sz w:val="24"/>
          <w:szCs w:val="24"/>
          <w:rtl w:val="0"/>
        </w:rPr>
        <w:t xml:space="preserve">focal neighbourhood size</w:t>
      </w:r>
      <w:r w:rsidDel="00000000" w:rsidR="00000000" w:rsidRPr="00000000">
        <w:rPr>
          <w:rFonts w:ascii="Times New Roman" w:cs="Times New Roman" w:eastAsia="Times New Roman" w:hAnsi="Times New Roman"/>
          <w:sz w:val="24"/>
          <w:szCs w:val="24"/>
          <w:rtl w:val="0"/>
        </w:rPr>
        <w:t xml:space="preserve"> of 75 km, as implemented in the SPDEP package (Bivand &amp; Wong, 2018).  We classified the grids clustered as hotspots (Gi* &gt; 1.96) or coldspots (Gi* &lt; -1.96), with statistical significance at the 95% confidence level (based on the threshold suggested by </w:t>
      </w:r>
      <w:r w:rsidDel="00000000" w:rsidR="00000000" w:rsidRPr="00000000">
        <w:rPr>
          <w:rFonts w:ascii="Times New Roman" w:cs="Times New Roman" w:eastAsia="Times New Roman" w:hAnsi="Times New Roman"/>
          <w:sz w:val="24"/>
          <w:szCs w:val="24"/>
          <w:rtl w:val="0"/>
        </w:rPr>
        <w:t xml:space="preserve">Rossi &amp; Becker, 2019</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4">
      <w:pPr>
        <w:pStyle w:val="Heading2"/>
        <w:jc w:val="left"/>
        <w:rPr/>
      </w:pPr>
      <w:bookmarkStart w:colFirst="0" w:colLast="0" w:name="_heading=h.6dzo04b2855h" w:id="12"/>
      <w:bookmarkEnd w:id="12"/>
      <w:r w:rsidDel="00000000" w:rsidR="00000000" w:rsidRPr="00000000">
        <w:rPr>
          <w:rtl w:val="0"/>
        </w:rPr>
        <w:t xml:space="preserve">5. Resolution and data processing</w:t>
      </w:r>
    </w:p>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our analyses provide insights at the biogeographic province and continental level, finer-scale resolution (15 arc-minutes or 0.25°) is necessary for practical conservation decisions (Antonelli et al., 2023). Therefore, we also present the results at this finer resolution for more detailed insights (see Supplementary Information A1).</w:t>
      </w:r>
    </w:p>
    <w:p w:rsidR="00000000" w:rsidDel="00000000" w:rsidP="00000000" w:rsidRDefault="00000000" w:rsidRPr="00000000" w14:paraId="00000036">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performed all analyses in R v.4.3.1 (R. Core Team, 2024), using the tidyverse package (Wickham et al., 2019) for data wrangling, sf (Pebesma, 2018), rgdal (Bivand et al., 2021), and raster (Hijmans, 2021) for spatial analyses, and ggplot2 for visualizations (Wickham, 2009).</w:t>
      </w:r>
    </w:p>
    <w:p w:rsidR="00000000" w:rsidDel="00000000" w:rsidP="00000000" w:rsidRDefault="00000000" w:rsidRPr="00000000" w14:paraId="00000037">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1"/>
        <w:numPr>
          <w:ilvl w:val="0"/>
          <w:numId w:val="1"/>
        </w:numPr>
        <w:ind w:left="360" w:hanging="360"/>
        <w:rPr/>
      </w:pPr>
      <w:bookmarkStart w:colFirst="0" w:colLast="0" w:name="_heading=h.3j2qqm3" w:id="13"/>
      <w:bookmarkEnd w:id="13"/>
      <w:r w:rsidDel="00000000" w:rsidR="00000000" w:rsidRPr="00000000">
        <w:rPr>
          <w:rtl w:val="0"/>
        </w:rPr>
        <w:t xml:space="preserve">RESULTS</w:t>
      </w:r>
    </w:p>
    <w:p w:rsidR="00000000" w:rsidDel="00000000" w:rsidP="00000000" w:rsidRDefault="00000000" w:rsidRPr="00000000" w14:paraId="00000039">
      <w:pPr>
        <w:pStyle w:val="Heading2"/>
        <w:jc w:val="left"/>
        <w:rPr/>
      </w:pPr>
      <w:bookmarkStart w:colFirst="0" w:colLast="0" w:name="_heading=h.tkbudmd10rog" w:id="14"/>
      <w:bookmarkEnd w:id="14"/>
      <w:r w:rsidDel="00000000" w:rsidR="00000000" w:rsidRPr="00000000">
        <w:rPr>
          <w:rtl w:val="0"/>
        </w:rPr>
        <w:t xml:space="preserve">1. Spatial patterns of biodiversity shortfalls</w:t>
      </w:r>
    </w:p>
    <w:p w:rsidR="00000000" w:rsidDel="00000000" w:rsidP="00000000" w:rsidRDefault="00000000" w:rsidRPr="00000000" w14:paraId="0000003A">
      <w:pPr>
        <w:pBdr>
          <w:top w:space="0" w:sz="0" w:val="nil"/>
          <w:left w:space="0" w:sz="0" w:val="nil"/>
          <w:bottom w:space="0" w:sz="0" w:val="nil"/>
          <w:right w:space="0" w:sz="0" w:val="nil"/>
          <w:between w:space="0" w:sz="0" w:val="nil"/>
        </w:pBd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found that 51.8% of the Neotropical grid cells (n = 8,520) contain georeferenced information on VE occurrence, and 40.6% of VE species in the dataset have more than 10 records. The number of records per grid cell averaged 131 (sd = 725), with a median of 14, while each cell contained an average of 125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species (sd = 747), with a median of 46 species. Provinces with the highest average number of occurrences per grid cell were in Central America (Puntarenas-Chiriqui and Guatuso-Talamanca provinces with 539 and 507), followed by the south of Mexico (</w:t>
      </w:r>
      <w:r w:rsidDel="00000000" w:rsidR="00000000" w:rsidRPr="00000000">
        <w:rPr>
          <w:rFonts w:ascii="Times New Roman" w:cs="Times New Roman" w:eastAsia="Times New Roman" w:hAnsi="Times New Roman"/>
          <w:sz w:val="24"/>
          <w:szCs w:val="24"/>
          <w:rtl w:val="0"/>
        </w:rPr>
        <w:t xml:space="preserve">Trans-Mexican</w:t>
      </w:r>
      <w:r w:rsidDel="00000000" w:rsidR="00000000" w:rsidRPr="00000000">
        <w:rPr>
          <w:rFonts w:ascii="Times New Roman" w:cs="Times New Roman" w:eastAsia="Times New Roman" w:hAnsi="Times New Roman"/>
          <w:sz w:val="24"/>
          <w:szCs w:val="24"/>
          <w:rtl w:val="0"/>
        </w:rPr>
        <w:t xml:space="preserve"> Volcanic Belt and Chiapas Highlands provinces with 280 and 156), the Andean region (Cauca and Paramo provinces with 279 and 215) and the Atlantic province (194). Conversely, provinces with low data availability include the Xingu-Tapajós (11) and Cerrado (15) in northwestern Brazil. Additionally, the Savanna province (Los Llanos, Venezuela, and Colombia) and the Southern Neotropics (Atacama, Cuyan, and Monte) had the lower average number of occurrences per grid cell (&lt; 10).</w:t>
      </w:r>
    </w:p>
    <w:p w:rsidR="00000000" w:rsidDel="00000000" w:rsidP="00000000" w:rsidRDefault="00000000" w:rsidRPr="00000000" w14:paraId="0000003B">
      <w:pPr>
        <w:pBdr>
          <w:top w:space="0" w:sz="0" w:val="nil"/>
          <w:left w:space="0" w:sz="0" w:val="nil"/>
          <w:bottom w:space="0" w:sz="0" w:val="nil"/>
          <w:right w:space="0" w:sz="0" w:val="nil"/>
          <w:between w:space="0" w:sz="0" w:val="nil"/>
        </w:pBd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areas with the highest species numbers generally overlapped with regions containing more occurrence records (Figure 1) yet, high species richness did not always correlate with high data availability (Table TS1). A majo</w:t>
      </w:r>
      <w:r w:rsidDel="00000000" w:rsidR="00000000" w:rsidRPr="00000000">
        <w:rPr>
          <w:rFonts w:ascii="Times New Roman" w:cs="Times New Roman" w:eastAsia="Times New Roman" w:hAnsi="Times New Roman"/>
          <w:sz w:val="24"/>
          <w:szCs w:val="24"/>
          <w:shd w:fill="auto" w:val="clear"/>
          <w:rtl w:val="0"/>
        </w:rPr>
        <w:t xml:space="preserve">r taxonomic shortfall wa</w:t>
      </w:r>
      <w:r w:rsidDel="00000000" w:rsidR="00000000" w:rsidRPr="00000000">
        <w:rPr>
          <w:rFonts w:ascii="Times New Roman" w:cs="Times New Roman" w:eastAsia="Times New Roman" w:hAnsi="Times New Roman"/>
          <w:sz w:val="24"/>
          <w:szCs w:val="24"/>
          <w:rtl w:val="0"/>
        </w:rPr>
        <w:t xml:space="preserve">s observed across the study region (Figure 2), with only 15.4% of grid cells considered well-sampled. In contrast, 76.2% of the grid cells were fairly sampled, while the remaining 8.3% of grid cells classified as poorly sampled. The highest taxonomic shortfalls were found in Mexico, with the Sierra Madre Oriental (26.7%) and Transmexican Volcanic Belt (33.1%) provinces </w:t>
      </w:r>
      <w:r w:rsidDel="00000000" w:rsidR="00000000" w:rsidRPr="00000000">
        <w:rPr>
          <w:rFonts w:ascii="Times New Roman" w:cs="Times New Roman" w:eastAsia="Times New Roman" w:hAnsi="Times New Roman"/>
          <w:sz w:val="24"/>
          <w:szCs w:val="24"/>
          <w:rtl w:val="0"/>
        </w:rPr>
        <w:t xml:space="preserve">exhibiting</w:t>
      </w:r>
      <w:r w:rsidDel="00000000" w:rsidR="00000000" w:rsidRPr="00000000">
        <w:rPr>
          <w:rFonts w:ascii="Times New Roman" w:cs="Times New Roman" w:eastAsia="Times New Roman" w:hAnsi="Times New Roman"/>
          <w:sz w:val="24"/>
          <w:szCs w:val="24"/>
          <w:rtl w:val="0"/>
        </w:rPr>
        <w:t xml:space="preserve"> moderate shortfalls; as well as in the Caribbean and Central America, with Puerto Rico (56.5%), Guatuso-Talamanca (42.9%) and Puntarenas-Chiriqui (37.5%) provinces showing the most significant gaps. In South America, especially in Brazil, provinces such as Comechingones (50.0%), Chapada Diamantina (48.4%), Southern Espinhaco (25.8%), and Caatinga (22.9%) showed lower taxonomic shortfalls. We also </w:t>
      </w:r>
      <w:r w:rsidDel="00000000" w:rsidR="00000000" w:rsidRPr="00000000">
        <w:rPr>
          <w:rFonts w:ascii="Times New Roman" w:cs="Times New Roman" w:eastAsia="Times New Roman" w:hAnsi="Times New Roman"/>
          <w:sz w:val="24"/>
          <w:szCs w:val="24"/>
          <w:rtl w:val="0"/>
        </w:rPr>
        <w:t xml:space="preserve">found</w:t>
      </w:r>
      <w:r w:rsidDel="00000000" w:rsidR="00000000" w:rsidRPr="00000000">
        <w:rPr>
          <w:rFonts w:ascii="Times New Roman" w:cs="Times New Roman" w:eastAsia="Times New Roman" w:hAnsi="Times New Roman"/>
          <w:sz w:val="24"/>
          <w:szCs w:val="24"/>
          <w:rtl w:val="0"/>
        </w:rPr>
        <w:t xml:space="preserve"> high taxonomic shortfalls in the Cauca province, located at the southern border with Colombia (22.8%) and in the Galápagos Islands (33.3%).</w:t>
      </w:r>
    </w:p>
    <w:p w:rsidR="00000000" w:rsidDel="00000000" w:rsidP="00000000" w:rsidRDefault="00000000" w:rsidRPr="00000000" w14:paraId="0000003C">
      <w:pPr>
        <w:pBdr>
          <w:top w:space="0" w:sz="0" w:val="nil"/>
          <w:left w:space="0" w:sz="0" w:val="nil"/>
          <w:bottom w:space="0" w:sz="0" w:val="nil"/>
          <w:right w:space="0" w:sz="0" w:val="nil"/>
          <w:between w:space="0" w:sz="0" w:val="nil"/>
        </w:pBd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shortfalls were similarly widespread (Figure 3), with 14 % of the grid cells categorized as poorly sampled and only 0.05% as well-sampled. Provinces such as Venezuelan, Puntarenas-Chiriqui, Cauca, Western Ecuador and Lesser Antilles provinces exhibited the largest deficits (over 20% poorly sampled grid cells). Provinces with the lowest values of poorly sampled grid cells for geographic shortfall were Southern Espinhaco, Cerrado, Transmexican Volcanic Belt, Sierra Madre Oriental and Caatinga provinces (&lt; 4%). Again provinces with the lowest number of species and records had 0% poorly sampled grid cells (Chapada Diamantina, Puerto Rico, Comechingones, Galapagos Islands and Atacama provinces).</w:t>
      </w:r>
    </w:p>
    <w:p w:rsidR="00000000" w:rsidDel="00000000" w:rsidP="00000000" w:rsidRDefault="00000000" w:rsidRPr="00000000" w14:paraId="0000003D">
      <w:pPr>
        <w:pStyle w:val="Heading2"/>
        <w:jc w:val="left"/>
        <w:rPr/>
      </w:pPr>
      <w:bookmarkStart w:colFirst="0" w:colLast="0" w:name="_heading=h.xs0ptlap1tji" w:id="15"/>
      <w:bookmarkEnd w:id="15"/>
      <w:r w:rsidDel="00000000" w:rsidR="00000000" w:rsidRPr="00000000">
        <w:rPr>
          <w:rtl w:val="0"/>
        </w:rPr>
        <w:t xml:space="preserve">2. Comparison of biodiversity shortfalls among families</w:t>
      </w:r>
    </w:p>
    <w:p w:rsidR="00000000" w:rsidDel="00000000" w:rsidP="00000000" w:rsidRDefault="00000000" w:rsidRPr="00000000" w14:paraId="0000003E">
      <w:pPr>
        <w:pBdr>
          <w:top w:space="0" w:sz="0" w:val="nil"/>
          <w:left w:space="0" w:sz="0" w:val="nil"/>
          <w:bottom w:space="0" w:sz="0" w:val="nil"/>
          <w:right w:space="0" w:sz="0" w:val="nil"/>
          <w:between w:space="0" w:sz="0" w:val="nil"/>
        </w:pBd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average, the</w:t>
      </w:r>
      <w:r w:rsidDel="00000000" w:rsidR="00000000" w:rsidRPr="00000000">
        <w:rPr>
          <w:rFonts w:ascii="Times New Roman" w:cs="Times New Roman" w:eastAsia="Times New Roman" w:hAnsi="Times New Roman"/>
          <w:sz w:val="24"/>
          <w:szCs w:val="24"/>
          <w:rtl w:val="0"/>
        </w:rPr>
        <w:t xml:space="preserve"> Orchidaceae family had an average of 140 species recorded per cell, w</w:t>
      </w:r>
      <w:r w:rsidDel="00000000" w:rsidR="00000000" w:rsidRPr="00000000">
        <w:rPr>
          <w:rFonts w:ascii="Times New Roman" w:cs="Times New Roman" w:eastAsia="Times New Roman" w:hAnsi="Times New Roman"/>
          <w:sz w:val="24"/>
          <w:szCs w:val="24"/>
          <w:rtl w:val="0"/>
        </w:rPr>
        <w:t xml:space="preserve">hile Bromeliaceae, Araceae, Piperaceae, and Polypodiaceae had much lower species numbers on average, ranging between 24 and 34 species per grid cell. </w:t>
      </w:r>
      <w:r w:rsidDel="00000000" w:rsidR="00000000" w:rsidRPr="00000000">
        <w:rPr>
          <w:rFonts w:ascii="Times New Roman" w:cs="Times New Roman" w:eastAsia="Times New Roman" w:hAnsi="Times New Roman"/>
          <w:sz w:val="24"/>
          <w:szCs w:val="24"/>
          <w:shd w:fill="auto" w:val="clear"/>
          <w:rtl w:val="0"/>
        </w:rPr>
        <w:t xml:space="preserve">Taxonomic shortfalls</w:t>
      </w:r>
      <w:r w:rsidDel="00000000" w:rsidR="00000000" w:rsidRPr="00000000">
        <w:rPr>
          <w:rFonts w:ascii="Times New Roman" w:cs="Times New Roman" w:eastAsia="Times New Roman" w:hAnsi="Times New Roman"/>
          <w:sz w:val="24"/>
          <w:szCs w:val="24"/>
          <w:rtl w:val="0"/>
        </w:rPr>
        <w:t xml:space="preserve"> vary among families. Bromeliaceae (16.7%) and Araceae (16.6%) had the highest percentages of poorly sampled species, while Orchidaceae (3.8%) had the lowest, followed by Piperaceae (9.8%) and Polypodiaceae (12.4%). For well-sampled grid-cells in terms of taxonomic shortfall, Orchidaceae had the highest percentage (19.5%), followed by Polypodiaceae (8.7%), Piperaceae (6.2%), Bromeliaceae (5.7%), and Araceae (3.5%). Most grid cells across families remain in the fairly sampled category, ranging from 76.6% in Orchidaceae to 84% in Piperaceae, indicating moderate species discovery potential (Figure 2).</w:t>
      </w:r>
    </w:p>
    <w:p w:rsidR="00000000" w:rsidDel="00000000" w:rsidP="00000000" w:rsidRDefault="00000000" w:rsidRPr="00000000" w14:paraId="0000003F">
      <w:pPr>
        <w:pBdr>
          <w:top w:space="0" w:sz="0" w:val="nil"/>
          <w:left w:space="0" w:sz="0" w:val="nil"/>
          <w:bottom w:space="0" w:sz="0" w:val="nil"/>
          <w:right w:space="0" w:sz="0" w:val="nil"/>
          <w:between w:space="0" w:sz="0" w:val="nil"/>
        </w:pBd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geographic shortfall, well-sampled cells were rare among families. Poorly-sampled grid cells were most frequent for Orchidaceae (17.6%) and least frequent for Araceae (2.4%), while Araceae and Bromeliaceae had the highest proportion of well-sampled grid cells (0.13%), while Orchidaceae had the lowest (0.03%). </w:t>
      </w:r>
      <w:r w:rsidDel="00000000" w:rsidR="00000000" w:rsidRPr="00000000">
        <w:rPr>
          <w:rFonts w:ascii="Times New Roman" w:cs="Times New Roman" w:eastAsia="Times New Roman" w:hAnsi="Times New Roman"/>
          <w:sz w:val="24"/>
          <w:szCs w:val="24"/>
          <w:rtl w:val="0"/>
        </w:rPr>
        <w:t xml:space="preserve">The proportion of fairly-sampled cells was generally high across all families, ranging from 82.4% for Orchidaceae to 97.5% for Araceae (Figures 3).</w:t>
      </w:r>
      <w:r w:rsidDel="00000000" w:rsidR="00000000" w:rsidRPr="00000000">
        <w:rPr>
          <w:rtl w:val="0"/>
        </w:rPr>
      </w:r>
    </w:p>
    <w:p w:rsidR="00000000" w:rsidDel="00000000" w:rsidP="00000000" w:rsidRDefault="00000000" w:rsidRPr="00000000" w14:paraId="00000040">
      <w:pPr>
        <w:pStyle w:val="Heading2"/>
        <w:jc w:val="left"/>
        <w:rPr/>
      </w:pPr>
      <w:bookmarkStart w:colFirst="0" w:colLast="0" w:name="_heading=h.q8eq2z4703fm" w:id="16"/>
      <w:bookmarkEnd w:id="16"/>
      <w:r w:rsidDel="00000000" w:rsidR="00000000" w:rsidRPr="00000000">
        <w:rPr>
          <w:rtl w:val="0"/>
        </w:rPr>
        <w:t xml:space="preserve">3. Hot- and Coldspots of biodiversity shortfalls</w:t>
      </w:r>
    </w:p>
    <w:p w:rsidR="00000000" w:rsidDel="00000000" w:rsidP="00000000" w:rsidRDefault="00000000" w:rsidRPr="00000000" w14:paraId="00000041">
      <w:pPr>
        <w:pBdr>
          <w:top w:space="0" w:sz="0" w:val="nil"/>
          <w:left w:space="0" w:sz="0" w:val="nil"/>
          <w:bottom w:space="0" w:sz="0" w:val="nil"/>
          <w:right w:space="0" w:sz="0" w:val="nil"/>
          <w:between w:space="0" w:sz="0" w:val="nil"/>
        </w:pBdr>
        <w:ind w:firstLine="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Biodiversity shortfall hotspots are concentrated in several key regions, including the Mountainous Region of Mexico (with the Trans-Mexican Volcanic Belt, Balsas Basin, Veracruz, Sierra Madre del Sur, and Chiapas Highlands provinces), hotspots are found across diverse ecosystems such as the volcanic zones, semi-arid areas, and mountain ranges. In the Central American region (including the Pacific Lowlands, Guatuso-Talamanca, and Puntarenas-Chiriquí provinces), hotspots are located along the Pacific coastal strip and in mountainous regions of Costa Rica and western Panama. The Amazonian and surrounding region (including the Napo and Rondonia provinces) contains biodiversity-rich areas of the Ecuadorian Amazon, Colombia, Peru, Brazil, and Bolivia. In the Atlantic region of South America (including the Atlantic, Caatinga, Cerrado, and Chapada Diamantina provinces), hotspots span coastal ecosystems, semi-arid ecoregions, tropical savannas, and mountainous areas within the Cerrado. Finally, in the Southern Cone (including the Puna, Araucaria Forest, Chaco, Paranaense Forest, and Iberá Wetlands provinces), hotspots are found in high Andean regions, dry areas, Atlantic Forests, and wetlands stretching across Argentina, Bolivia, Brazil, Paraguay, and Chile </w:t>
      </w:r>
      <w:r w:rsidDel="00000000" w:rsidR="00000000" w:rsidRPr="00000000">
        <w:rPr>
          <w:rFonts w:ascii="Times New Roman" w:cs="Times New Roman" w:eastAsia="Times New Roman" w:hAnsi="Times New Roman"/>
          <w:sz w:val="24"/>
          <w:szCs w:val="24"/>
          <w:rtl w:val="0"/>
        </w:rPr>
        <w:t xml:space="preserve">(Figure 4).</w:t>
      </w:r>
      <w:r w:rsidDel="00000000" w:rsidR="00000000" w:rsidRPr="00000000">
        <w:rPr>
          <w:rtl w:val="0"/>
        </w:rPr>
      </w:r>
    </w:p>
    <w:p w:rsidR="00000000" w:rsidDel="00000000" w:rsidP="00000000" w:rsidRDefault="00000000" w:rsidRPr="00000000" w14:paraId="00000042">
      <w:pPr>
        <w:jc w:val="left"/>
        <w:rPr>
          <w:sz w:val="24"/>
          <w:szCs w:val="24"/>
        </w:rPr>
      </w:pPr>
      <w:r w:rsidDel="00000000" w:rsidR="00000000" w:rsidRPr="00000000">
        <w:rPr>
          <w:rtl w:val="0"/>
        </w:rPr>
      </w:r>
    </w:p>
    <w:p w:rsidR="00000000" w:rsidDel="00000000" w:rsidP="00000000" w:rsidRDefault="00000000" w:rsidRPr="00000000" w14:paraId="00000043">
      <w:pPr>
        <w:pStyle w:val="Heading1"/>
        <w:numPr>
          <w:ilvl w:val="0"/>
          <w:numId w:val="1"/>
        </w:numPr>
        <w:ind w:left="360" w:hanging="360"/>
        <w:rPr/>
      </w:pPr>
      <w:bookmarkStart w:colFirst="0" w:colLast="0" w:name="_heading=h.yr29fd5758yh" w:id="17"/>
      <w:bookmarkEnd w:id="17"/>
      <w:r w:rsidDel="00000000" w:rsidR="00000000" w:rsidRPr="00000000">
        <w:rPr>
          <w:rtl w:val="0"/>
        </w:rPr>
        <w:t xml:space="preserve">DISCUSSION</w:t>
      </w:r>
    </w:p>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documented the gaps in the available occurrence information of vascular epiphytes (VE) across the Neotropics, with both taxonomic and geographic gaps being widespread. WE found 51.8% of grid cells to contain georeferenced records, and 40.6% of species with more than 10 records in total, highlighting the need for data collection and mobilization. The results indicate the lowest number of records in key biodiversity regions, particularly in the Xingu-Tapajós and Cerrado provinces of Brazil, as well as in the Savanna province (Los Llanos) and the Southern Neotropics (Atacama, Cuyan, and Monte). Taxonomic shortfalls were most pronounced in Mexico (Sierra Madre Oriental and Transmexican Volcanic Belt), the Caribbean and Central America (Puerto Rico, Guatuso-Talamanca, Puntarenas-Chiriquí), and parts of South America, including Comechingones, Chapada Diamantina, and the Cauca province in Colombia. Geographic shortfalls were widespread, with the largest deficits in Venezuelan, Puntarenas-Chiriquí, Cauca, Western Ecuador, and Lesser Antilles provinces. Additionally, Caatinga, Atlantic Forest, and Araucaria Forest provinces emerged as hotspots of biodiversity shortfalls, showing significant data deficiencies despite their high species richness.</w:t>
      </w:r>
    </w:p>
    <w:p w:rsidR="00000000" w:rsidDel="00000000" w:rsidP="00000000" w:rsidRDefault="00000000" w:rsidRPr="00000000" w14:paraId="00000045">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limitation of the data is its incomplete representation of the true biodiversity, as only about 25% of the records from Carmona-Higuita et al. (2023) passed the cleaning process, with many lacking geographic coordinates, which limits their use in spatial analyses. Moreover, 40% of the data comes from GBIF, a source known to contain inaccuracies (Zizka et al., 2020) that may result in overestimated species richness (Maldonado et al., 2015). While we made efforts to access as much unpublished data and grey literature as possible, digital accessibility remains a critical barrier, with over two-fifths of botanical resources remaining digitally undiscoverable (Nicolson et al., 2023), often due to structural inequalities in scientific research (de Lima et al., 2022). Additionally, explorations in undersampled regions are increasingly difficult due to high deforestation rates, which outpace the description of new species (Gasper et al., 2016). This situation underscores the need for data mobilization from regional and smaller herbaria, which often contain locally collected specimens absent from larger international collections (Delves et al., 2024; Haque et al., 2020). Investment in the curation and mobilization of herbarium specimens has proven more efficient than fieldwork in generating new data (Vargas et al., 2024). Enhancing the role of regional herbaria, botanical gardens, and local communities in conservation is a promising approach (Perez et al., 2019; Vitt et al., 2023). Collaborative initiatives, such as the Rede Brasileira de Herbários and the Colombian National Herbarium, have demonstrated how decentralized collections, when integrated into global databases like GBIF, can significantly expand our understanding of biodiversity (Heberling et al., 2021; Soberón &amp; Peterson, 2009).</w:t>
      </w:r>
    </w:p>
    <w:p w:rsidR="00000000" w:rsidDel="00000000" w:rsidP="00000000" w:rsidRDefault="00000000" w:rsidRPr="00000000" w14:paraId="00000046">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Regions with the highest occurrence of epiphytes, such as the Mexican Transition Zone, Cauca, Paramo, and Atlantic Forest provinces together with the Mesoamerican Dominion, overlap with areas historically prioritized for botanical surveys. These regions have been better sampled </w:t>
      </w:r>
      <w:r w:rsidDel="00000000" w:rsidR="00000000" w:rsidRPr="00000000">
        <w:rPr>
          <w:rFonts w:ascii="Times New Roman" w:cs="Times New Roman" w:eastAsia="Times New Roman" w:hAnsi="Times New Roman"/>
          <w:sz w:val="24"/>
          <w:szCs w:val="24"/>
          <w:rtl w:val="0"/>
        </w:rPr>
        <w:t xml:space="preserve">and have higher</w:t>
      </w:r>
      <w:r w:rsidDel="00000000" w:rsidR="00000000" w:rsidRPr="00000000">
        <w:rPr>
          <w:rFonts w:ascii="Times New Roman" w:cs="Times New Roman" w:eastAsia="Times New Roman" w:hAnsi="Times New Roman"/>
          <w:sz w:val="24"/>
          <w:szCs w:val="24"/>
          <w:rtl w:val="0"/>
        </w:rPr>
        <w:t xml:space="preserve"> species richness, as noted by previous studies (Araujo et al., 2022; Araujo &amp; Ramos, 2021; Ramírez‐Barahona et al., 2023). This pattern highlights how historical research priorities and accessibility have skewed the knowledge of species distributions. While tree and shrub inventories tend to be biased toward areas with greater accessibility, such as near roads, research stations, and protected areas (Feeley &amp; Silman, 2011; Tobler et al., 2007, Zizka et al., 2021), epiphyte data are further constrained by their canopy-dependent habit, and their three-dimensional distribution in the tree (Zotz, 2016), which makes their collection inherently more challenging than terrestrial species.</w:t>
      </w:r>
    </w:p>
    <w:p w:rsidR="00000000" w:rsidDel="00000000" w:rsidP="00000000" w:rsidRDefault="00000000" w:rsidRPr="00000000" w14:paraId="00000047">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most grid cells had moderate to good sampling completeness, these were often the ones with fewer records. This is likely due to the overall scarcity of data. G</w:t>
      </w:r>
      <w:r w:rsidDel="00000000" w:rsidR="00000000" w:rsidRPr="00000000">
        <w:rPr>
          <w:rFonts w:ascii="Times New Roman" w:cs="Times New Roman" w:eastAsia="Times New Roman" w:hAnsi="Times New Roman"/>
          <w:sz w:val="24"/>
          <w:szCs w:val="24"/>
          <w:rtl w:val="0"/>
        </w:rPr>
        <w:t xml:space="preserve">aps in data persist in </w:t>
      </w:r>
      <w:r w:rsidDel="00000000" w:rsidR="00000000" w:rsidRPr="00000000">
        <w:rPr>
          <w:rFonts w:ascii="Times New Roman" w:cs="Times New Roman" w:eastAsia="Times New Roman" w:hAnsi="Times New Roman"/>
          <w:sz w:val="24"/>
          <w:szCs w:val="24"/>
          <w:rtl w:val="0"/>
        </w:rPr>
        <w:t xml:space="preserve">particular</w:t>
      </w:r>
      <w:r w:rsidDel="00000000" w:rsidR="00000000" w:rsidRPr="00000000">
        <w:rPr>
          <w:rFonts w:ascii="Times New Roman" w:cs="Times New Roman" w:eastAsia="Times New Roman" w:hAnsi="Times New Roman"/>
          <w:sz w:val="24"/>
          <w:szCs w:val="24"/>
          <w:rtl w:val="0"/>
        </w:rPr>
        <w:t xml:space="preserve"> in regions </w:t>
      </w:r>
      <w:r w:rsidDel="00000000" w:rsidR="00000000" w:rsidRPr="00000000">
        <w:rPr>
          <w:rFonts w:ascii="Times New Roman" w:cs="Times New Roman" w:eastAsia="Times New Roman" w:hAnsi="Times New Roman"/>
          <w:sz w:val="24"/>
          <w:szCs w:val="24"/>
          <w:rtl w:val="0"/>
        </w:rPr>
        <w:t xml:space="preserve">where fragmented habitats and limited infrastructure impede data collection (Roy et al., 2017; Sobral-Souza et al., 2021),</w:t>
      </w:r>
      <w:r w:rsidDel="00000000" w:rsidR="00000000" w:rsidRPr="00000000">
        <w:rPr>
          <w:rFonts w:ascii="Times New Roman" w:cs="Times New Roman" w:eastAsia="Times New Roman" w:hAnsi="Times New Roman"/>
          <w:sz w:val="24"/>
          <w:szCs w:val="24"/>
          <w:rtl w:val="0"/>
        </w:rPr>
        <w:t xml:space="preserve"> such as the Xingu-Tapajós and Cerrado in northwestern Brazil, the Savanna province (Los Llanos, Venezuela and Colombia), and the Southern Neotropics (Atacama, Cuyan, and Monte)</w:t>
      </w:r>
      <w:r w:rsidDel="00000000" w:rsidR="00000000" w:rsidRPr="00000000">
        <w:rPr>
          <w:rFonts w:ascii="Times New Roman" w:cs="Times New Roman" w:eastAsia="Times New Roman" w:hAnsi="Times New Roman"/>
          <w:sz w:val="24"/>
          <w:szCs w:val="24"/>
          <w:rtl w:val="0"/>
        </w:rPr>
        <w:t xml:space="preserve">. Similarly,</w:t>
      </w:r>
      <w:r w:rsidDel="00000000" w:rsidR="00000000" w:rsidRPr="00000000">
        <w:rPr>
          <w:rFonts w:ascii="Times New Roman" w:cs="Times New Roman" w:eastAsia="Times New Roman" w:hAnsi="Times New Roman"/>
          <w:sz w:val="24"/>
          <w:szCs w:val="24"/>
          <w:rtl w:val="0"/>
        </w:rPr>
        <w:t xml:space="preserve"> the ruggedness of some regions limits sampling, as, for instance in the Madeira, Xingu, and Tapajós basins within Amazonia, which have been pointed out as difficult for data collection before (Oliveira et al., 2016; Quaresma et al., 2022; Stropp et al., 2016)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area, part of Brazil's "Arc of Deforestation," has experienced extensive </w:t>
      </w:r>
      <w:r w:rsidDel="00000000" w:rsidR="00000000" w:rsidRPr="00000000">
        <w:rPr>
          <w:rFonts w:ascii="Times New Roman" w:cs="Times New Roman" w:eastAsia="Times New Roman" w:hAnsi="Times New Roman"/>
          <w:sz w:val="24"/>
          <w:szCs w:val="24"/>
          <w:rtl w:val="0"/>
        </w:rPr>
        <w:t xml:space="preserve">deforestation, rendering prior records obsolete and exacerbating knowledge gaps (</w:t>
      </w:r>
      <w:r w:rsidDel="00000000" w:rsidR="00000000" w:rsidRPr="00000000">
        <w:rPr>
          <w:rFonts w:ascii="Times New Roman" w:cs="Times New Roman" w:eastAsia="Times New Roman" w:hAnsi="Times New Roman"/>
          <w:sz w:val="24"/>
          <w:szCs w:val="24"/>
          <w:rtl w:val="0"/>
        </w:rPr>
        <w:t xml:space="preserve">Escribano</w:t>
      </w:r>
      <w:r w:rsidDel="00000000" w:rsidR="00000000" w:rsidRPr="00000000">
        <w:rPr>
          <w:rFonts w:ascii="Times New Roman" w:cs="Times New Roman" w:eastAsia="Times New Roman" w:hAnsi="Times New Roman"/>
          <w:sz w:val="24"/>
          <w:szCs w:val="24"/>
          <w:rtl w:val="0"/>
        </w:rPr>
        <w:t xml:space="preserve"> et al., 2016). In addition, the impact of deforestation has discouraged further botanical expeditions (</w:t>
      </w:r>
      <w:r w:rsidDel="00000000" w:rsidR="00000000" w:rsidRPr="00000000">
        <w:rPr>
          <w:rFonts w:ascii="Times New Roman" w:cs="Times New Roman" w:eastAsia="Times New Roman" w:hAnsi="Times New Roman"/>
          <w:sz w:val="24"/>
          <w:szCs w:val="24"/>
          <w:rtl w:val="0"/>
        </w:rPr>
        <w:t xml:space="preserve">Stropp</w:t>
      </w:r>
      <w:r w:rsidDel="00000000" w:rsidR="00000000" w:rsidRPr="00000000">
        <w:rPr>
          <w:rFonts w:ascii="Times New Roman" w:cs="Times New Roman" w:eastAsia="Times New Roman" w:hAnsi="Times New Roman"/>
          <w:sz w:val="24"/>
          <w:szCs w:val="24"/>
          <w:rtl w:val="0"/>
        </w:rPr>
        <w:t xml:space="preserve"> et al., 2020) and contributed to the loss of species. Similarly, regions such as the Cerrado, Caatinga, and Imeri exhibit both taxonomic and geographic gaps in data, underscoring the logistical challenges and uneven resource allocation that have been documented in previous studies on other plant groups (</w:t>
      </w:r>
      <w:r w:rsidDel="00000000" w:rsidR="00000000" w:rsidRPr="00000000">
        <w:rPr>
          <w:rFonts w:ascii="Times New Roman" w:cs="Times New Roman" w:eastAsia="Times New Roman" w:hAnsi="Times New Roman"/>
          <w:sz w:val="24"/>
          <w:szCs w:val="24"/>
          <w:rtl w:val="0"/>
        </w:rPr>
        <w:t xml:space="preserve">Hopkins</w:t>
      </w:r>
      <w:r w:rsidDel="00000000" w:rsidR="00000000" w:rsidRPr="00000000">
        <w:rPr>
          <w:rFonts w:ascii="Times New Roman" w:cs="Times New Roman" w:eastAsia="Times New Roman" w:hAnsi="Times New Roman"/>
          <w:sz w:val="24"/>
          <w:szCs w:val="24"/>
          <w:rtl w:val="0"/>
        </w:rPr>
        <w:t xml:space="preserve">, 2019). This lack of comprehensive data not only affects biodiversity modelling but also undermines conservation efforts, as regions with high potential richness but low documentation are less likely to be prioritized for protection (Feeley, 2015).</w:t>
      </w:r>
    </w:p>
    <w:p w:rsidR="00000000" w:rsidDel="00000000" w:rsidP="00000000" w:rsidRDefault="00000000" w:rsidRPr="00000000" w14:paraId="00000048">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sampling quality among the studied epiphyte families, Araceae and Bromeliaceae had the highest taxonomic shortfall and Orchidaceae had the highest proportion of poorly-sampled grid cells for the geographic shortfall, indicating a marked difference in how well these families are represented across the studied grid cells. This suggests that less represented families appear to be well sampled on average, but the overall taxonomic information available for Orchidaceae is broader, which could be advantageous for understanding its distribution and diversity across a larger spatial extent. The amount of information is particularly high in the charismatic and better represented families such as Orchidaceae and Bromeliaceae, largely due to focused collections (Garcillán &amp; Ezcurra, 2011; ter Steege et al., 2016) and the higher rate of description of new species (Cheek et al., 2020; Luján et al., 2023), nevertheless it frequently has a</w:t>
      </w:r>
      <w:r w:rsidDel="00000000" w:rsidR="00000000" w:rsidRPr="00000000">
        <w:rPr>
          <w:rFonts w:ascii="Times New Roman" w:cs="Times New Roman" w:eastAsia="Times New Roman" w:hAnsi="Times New Roman"/>
          <w:sz w:val="24"/>
          <w:szCs w:val="24"/>
          <w:rtl w:val="0"/>
        </w:rPr>
        <w:t xml:space="preserve"> complex taxonomy (</w:t>
      </w:r>
      <w:r w:rsidDel="00000000" w:rsidR="00000000" w:rsidRPr="00000000">
        <w:rPr>
          <w:rFonts w:ascii="Times New Roman" w:cs="Times New Roman" w:eastAsia="Times New Roman" w:hAnsi="Times New Roman"/>
          <w:sz w:val="24"/>
          <w:szCs w:val="24"/>
          <w:rtl w:val="0"/>
        </w:rPr>
        <w:t xml:space="preserve">e.g., new name combinations; Schellenberger Costa et al., 2023). Although some epiphyte species grow to large sizes, many are very small and go unnoticed in un-directed sampling campaigns (Zotz, 2016). This pattern is especially pronounced in the Neotropics, where high species richness and complex taxonomy contribute to prolonged time lags in species description. For instance, the central Andes (southern Ecuador, Peru, western Bolivia, and northern and central Argentina and Chile) exhibit the longest time lags, while Chocó (western Colombia) has the shortest (Luján et al., 2023). In comparison with other life forms, trees for example also experience taxonomic shortfalls, nevertheless, these are particularly pronounced in epiphytes (Araujo et al., 2022; Araujo &amp; Ramos, 2021) due to the prevalence of cryptic species, high phenotypic plasticity, and reliance on specialists for accurate identification (Lees et al., 2020; Leite et al., 2013; Marin et al., 2008; Zotz, 2016). While trees and shrubs also suffer taxonomic uncertainties, especially in diverse families like Lauraceae and Myrtaceae (Meyer et al., 2016), epiphytes—particularly Orchidaceae—experience some of the highest rates of misidentifications and synonymization due to their intricate floral morphology and complex reproductive strategies (Freudenstein &amp; Chase, 2015). </w:t>
      </w:r>
    </w:p>
    <w:p w:rsidR="00000000" w:rsidDel="00000000" w:rsidP="00000000" w:rsidRDefault="00000000" w:rsidRPr="00000000" w14:paraId="00000049">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epiphytes are disproportionately underrepresented in large repositories, as many collections prioritize more accessible growth forms (Gentry &amp; Dodson, 1987; Prance et al., 2000). These patterns underscore the need for more accurate representation and targeted surveys to ensure a more comprehensive understanding of Neotropical plant diversity. The persistent knowledge gaps in epiphyte diversity and distribution, exacerbated by a lack of trained taxonomists and local researchers, underscore the urgent need for investments in botanical education, capacity building, and collaborations between taxonomists, field botanists, and conservationists while emphasizing the importance of broadening sampling efforts to other epiphyte families and integrating phylogenetic diversity (as it is more evenly distributed across space and biomes than species richness alone; Tietje et al., 2023) into conservation planning across global biodiversity hotspots.</w:t>
      </w:r>
    </w:p>
    <w:p w:rsidR="00000000" w:rsidDel="00000000" w:rsidP="00000000" w:rsidRDefault="00000000" w:rsidRPr="00000000" w14:paraId="0000004A">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rtl w:val="0"/>
        </w:rPr>
        <w:t xml:space="preserve">otspots can draw the attention of managers and decision-makers to areas of both high conservation importance and high vulnerability (Schröter et al., 2017)</w:t>
      </w:r>
      <w:r w:rsidDel="00000000" w:rsidR="00000000" w:rsidRPr="00000000">
        <w:rPr>
          <w:rFonts w:ascii="Times New Roman" w:cs="Times New Roman" w:eastAsia="Times New Roman" w:hAnsi="Times New Roman"/>
          <w:sz w:val="24"/>
          <w:szCs w:val="24"/>
          <w:rtl w:val="0"/>
        </w:rPr>
        <w:t xml:space="preserve">. In the current study, taxonomic and geographic shortfalls in hotspot and coldspot analyses resulted in a scattered distribution across the studied families in the Neotropics, complicating the interpretation of general diversity and distribution patterns of VE. This issue has conservation implications, as species with small ranges and/or population sizes are less likely to be encountered in the wild (and thus less likely to be described) and are more likely to be threatened (Brown et al., 2023; Gaston, 2003). VE, in particular, has been described as having a high number of endemics (approximately 21%) and a high extinction risk (1 out of 6 species; Carmona-Higuita et al., 2023, 2025). However, insufficient records and low species completeness may lead to misclassification, where taxa with limited data might be erroneously considered as either widely distributed or highly restricted.</w:t>
      </w:r>
    </w:p>
    <w:p w:rsidR="00000000" w:rsidDel="00000000" w:rsidP="00000000" w:rsidRDefault="00000000" w:rsidRPr="00000000" w14:paraId="0000004B">
      <w:pPr>
        <w:ind w:firstLine="72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Effective biodiversity conservation relies on the availability of high-quality, comprehensive biodiversity data. Our study provides a quantitative assessment of taxonomic and geographic shortfalls in epiphytic vascular plants, identifying priority areas and families that require further sampling efforts. We found severe under-sampling within key biodiversity regions either with a low number of records (Amazonia, Savannas and Southern Arid Zones), or for the biodiversity shortfalls (Mesoamerica and the Caribbean, Andes and Sub-Andean Regions and Eastern South American Forests), which limits our ability to accurately assess epiphyte diversity. Addressing these shortfalls is essential for improving biodiversity databases and ensuring that conservation strategies are based on accurate and representative data. Expanding targeted field explorations in under-sampled regions, including and describing shortfalls in other families, alongside the curation and mobilization of herbarium specimens, will be crucial to enhancing data completeness. Moreover, strengthening collaborative efforts among herbaria and research institutions will provide a more spatially balanced and taxonomically comprehensive picture of Neotropical epiphyte diversity. Such proactive approaches will enable better-informed conservation assessments and facilitate long-term studies on biodiversity responses to anthropogenic pressures.</w: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jc w:val="left"/>
        <w:rPr/>
      </w:pPr>
      <w:bookmarkStart w:colFirst="0" w:colLast="0" w:name="_heading=h.feu3oztpcn7d" w:id="18"/>
      <w:bookmarkEnd w:id="18"/>
      <w:r w:rsidDel="00000000" w:rsidR="00000000" w:rsidRPr="00000000">
        <w:rPr>
          <w:rtl w:val="0"/>
        </w:rPr>
        <w:t xml:space="preserve">Figures</w:t>
      </w:r>
    </w:p>
    <w:p w:rsidR="00000000" w:rsidDel="00000000" w:rsidP="00000000" w:rsidRDefault="00000000" w:rsidRPr="00000000" w14:paraId="0000004D">
      <w:pPr>
        <w:jc w:val="left"/>
        <w:rPr>
          <w:sz w:val="20"/>
          <w:szCs w:val="20"/>
        </w:rPr>
      </w:pPr>
      <w:sdt>
        <w:sdtPr>
          <w:tag w:val="goog_rdk_0"/>
        </w:sdtPr>
        <w:sdtContent>
          <w:r w:rsidDel="00000000" w:rsidR="00000000" w:rsidRPr="00000000">
            <w:rPr>
              <w:rFonts w:ascii="Arial Unicode MS" w:cs="Arial Unicode MS" w:eastAsia="Arial Unicode MS" w:hAnsi="Arial Unicode MS"/>
              <w:sz w:val="20"/>
              <w:szCs w:val="20"/>
              <w:rtl w:val="0"/>
            </w:rPr>
            <w:t xml:space="preserve">Figure 1. Geographic distribution of epiphyte species records for the five most diverse epiphyte families in the Neotropics at a grid cell resolution of ≈ 55 km at the equator. The bivariate map shows species richness (x-axis) and number of occurrence records (y-axis) per grid cell, with values categorized into quartiles. Data were compiled from Carmona-Higuita et al., 2023 and mapped using the Behrmann projection. White cells indicate areas with no recorded occurrences. Areas with high record density generally coincide with high species richness, particularly in the Andes, Central America, and the Atlantic Forest, while some regions (e.g., the Amazon Basin) show relatively high species numbers with fewer records, suggesting potential under-sampling. </w:t>
          </w:r>
        </w:sdtContent>
      </w:sdt>
    </w:p>
    <w:p w:rsidR="00000000" w:rsidDel="00000000" w:rsidP="00000000" w:rsidRDefault="00000000" w:rsidRPr="00000000" w14:paraId="0000004E">
      <w:pPr>
        <w:jc w:val="left"/>
        <w:rPr>
          <w:sz w:val="24"/>
          <w:szCs w:val="24"/>
        </w:rPr>
      </w:pPr>
      <w:r w:rsidDel="00000000" w:rsidR="00000000" w:rsidRPr="00000000">
        <w:rPr>
          <w:sz w:val="24"/>
          <w:szCs w:val="24"/>
        </w:rPr>
        <w:drawing>
          <wp:inline distB="114300" distT="114300" distL="114300" distR="114300">
            <wp:extent cx="4814888" cy="4369382"/>
            <wp:effectExtent b="0" l="0" r="0" t="0"/>
            <wp:docPr id="211846392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14888" cy="436938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F">
      <w:pPr>
        <w:jc w:val="left"/>
        <w:rPr>
          <w:sz w:val="20"/>
          <w:szCs w:val="20"/>
        </w:rPr>
      </w:pPr>
      <w:r w:rsidDel="00000000" w:rsidR="00000000" w:rsidRPr="00000000">
        <w:rPr>
          <w:sz w:val="20"/>
          <w:szCs w:val="20"/>
          <w:rtl w:val="0"/>
        </w:rPr>
        <w:t xml:space="preserve">Figure 2. Taxonomic shortfalls for the five most diverse epiphyte families in the Neotropics. The maps show the geographic distribution of taxonomic shortfalls, calculated using the </w:t>
      </w:r>
      <w:r w:rsidDel="00000000" w:rsidR="00000000" w:rsidRPr="00000000">
        <w:rPr>
          <w:i w:val="1"/>
          <w:sz w:val="20"/>
          <w:szCs w:val="20"/>
          <w:rtl w:val="0"/>
        </w:rPr>
        <w:t xml:space="preserve">slope </w:t>
      </w:r>
      <w:sdt>
        <w:sdtPr>
          <w:tag w:val="goog_rdk_1"/>
        </w:sdtPr>
        <w:sdtContent>
          <w:r w:rsidDel="00000000" w:rsidR="00000000" w:rsidRPr="00000000">
            <w:rPr>
              <w:rFonts w:ascii="Arial Unicode MS" w:cs="Arial Unicode MS" w:eastAsia="Arial Unicode MS" w:hAnsi="Arial Unicode MS"/>
              <w:sz w:val="20"/>
              <w:szCs w:val="20"/>
              <w:rtl w:val="0"/>
            </w:rPr>
            <w:t xml:space="preserve">estimated with KnowBR, at a grid cell resolution of ≈ 55 km at the equator. Colors represent the degree sampling completeness, categorized into quartiles: low (red, 2.1 – 53.6), middle low (light orange, 53.7</w:t>
          </w:r>
        </w:sdtContent>
      </w:sdt>
      <w:r w:rsidDel="00000000" w:rsidR="00000000" w:rsidRPr="00000000">
        <w:rPr>
          <w:sz w:val="20"/>
          <w:szCs w:val="20"/>
          <w:rtl w:val="0"/>
        </w:rPr>
        <w:t xml:space="preserve"> – 77.1</w:t>
      </w:r>
      <w:r w:rsidDel="00000000" w:rsidR="00000000" w:rsidRPr="00000000">
        <w:rPr>
          <w:sz w:val="20"/>
          <w:szCs w:val="20"/>
          <w:rtl w:val="0"/>
        </w:rPr>
        <w:t xml:space="preserve">), middle high (light green, 77.2</w:t>
      </w:r>
      <w:r w:rsidDel="00000000" w:rsidR="00000000" w:rsidRPr="00000000">
        <w:rPr>
          <w:sz w:val="20"/>
          <w:szCs w:val="20"/>
          <w:rtl w:val="0"/>
        </w:rPr>
        <w:t xml:space="preserve"> – 92.9</w:t>
      </w:r>
      <w:r w:rsidDel="00000000" w:rsidR="00000000" w:rsidRPr="00000000">
        <w:rPr>
          <w:sz w:val="20"/>
          <w:szCs w:val="20"/>
          <w:rtl w:val="0"/>
        </w:rPr>
        <w:t xml:space="preserve">), and high (light blue, 93</w:t>
      </w:r>
      <w:r w:rsidDel="00000000" w:rsidR="00000000" w:rsidRPr="00000000">
        <w:rPr>
          <w:sz w:val="20"/>
          <w:szCs w:val="20"/>
          <w:rtl w:val="0"/>
        </w:rPr>
        <w:t xml:space="preserve"> – 116</w:t>
      </w:r>
      <w:r w:rsidDel="00000000" w:rsidR="00000000" w:rsidRPr="00000000">
        <w:rPr>
          <w:sz w:val="20"/>
          <w:szCs w:val="20"/>
          <w:rtl w:val="0"/>
        </w:rPr>
        <w:t xml:space="preserve"> ). Slope was mapped using the Behrmann projection, and smaller islands were excluded for visualization purposes. The total map includes all five families (Araceae, Bromeliaceae, Orchidaceae, Piperaceae, and Polypodiaceae), while individual panels show their specific sampling patterns. </w:t>
      </w:r>
      <w:r w:rsidDel="00000000" w:rsidR="00000000" w:rsidRPr="00000000">
        <w:rPr>
          <w:sz w:val="20"/>
          <w:szCs w:val="20"/>
          <w:rtl w:val="0"/>
        </w:rPr>
        <w:t xml:space="preserve">Well-sampled regions were rare located mainly in in Central America (Mexico: particularly in the states of Veracruz and Chiapas), Costa Rica, some Caribbean islands, and the Brazilian Atlantic region; whereas most areas in the Neotropics remain poorly sampled, suggesting gaps in taxonomic knowledge.</w:t>
      </w:r>
      <w:r w:rsidDel="00000000" w:rsidR="00000000" w:rsidRPr="00000000">
        <w:rPr>
          <w:rtl w:val="0"/>
        </w:rPr>
      </w:r>
    </w:p>
    <w:p w:rsidR="00000000" w:rsidDel="00000000" w:rsidP="00000000" w:rsidRDefault="00000000" w:rsidRPr="00000000" w14:paraId="00000050">
      <w:pPr>
        <w:jc w:val="left"/>
        <w:rPr>
          <w:sz w:val="20"/>
          <w:szCs w:val="20"/>
        </w:rPr>
      </w:pPr>
      <w:r w:rsidDel="00000000" w:rsidR="00000000" w:rsidRPr="00000000">
        <w:rPr>
          <w:sz w:val="20"/>
          <w:szCs w:val="20"/>
        </w:rPr>
        <w:drawing>
          <wp:inline distB="114300" distT="114300" distL="114300" distR="114300">
            <wp:extent cx="5400000" cy="7614000"/>
            <wp:effectExtent b="0" l="0" r="0" t="0"/>
            <wp:docPr id="211846392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00000" cy="7614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left"/>
        <w:rPr>
          <w:color w:val="000000"/>
          <w:sz w:val="20"/>
          <w:szCs w:val="20"/>
        </w:rPr>
      </w:pPr>
      <w:sdt>
        <w:sdtPr>
          <w:tag w:val="goog_rdk_2"/>
        </w:sdtPr>
        <w:sdtContent>
          <w:r w:rsidDel="00000000" w:rsidR="00000000" w:rsidRPr="00000000">
            <w:rPr>
              <w:rFonts w:ascii="Arial Unicode MS" w:cs="Arial Unicode MS" w:eastAsia="Arial Unicode MS" w:hAnsi="Arial Unicode MS"/>
              <w:sz w:val="20"/>
              <w:szCs w:val="20"/>
              <w:rtl w:val="0"/>
            </w:rPr>
            <w:t xml:space="preserve">Figure 3. Geographic shortfalls for the five most diverse epiphyte families in the Neotropics. The maps display the geographic distribution of geographic shortfalls for epiphytes, assessed using KnowBR at a grid cell resolution of  ≈ 55 km at the equator. Colors indicate the level of geographic sampling: well-sampled (cyan, slope &lt; 0.02, completeness &gt; 90%, R/S ratio &gt; 15), fairly sampled (light green, intermediate values), and poorly sampled (red, slope &gt; 0.3, completeness &lt; 50%, R/S ratio &lt; 3). The total map represents all families combined, while individual panels show patterns for Araceae, Bromeliaceae, Orchidaceae, Piperaceae, and Polypodiaceae. The Behrmann projection was used, and smaller islands were excluded for visualization. The results highlight that most areas in the Neotropics remain poorly sampled. </w:t>
          </w:r>
        </w:sdtContent>
      </w:sdt>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400000" cy="7614000"/>
            <wp:effectExtent b="0" l="0" r="0" t="0"/>
            <wp:docPr id="211846391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00000" cy="7614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3">
      <w:pPr>
        <w:jc w:val="left"/>
        <w:rPr>
          <w:sz w:val="20"/>
          <w:szCs w:val="20"/>
        </w:rPr>
      </w:pPr>
      <w:sdt>
        <w:sdtPr>
          <w:tag w:val="goog_rdk_3"/>
        </w:sdtPr>
        <w:sdtContent>
          <w:r w:rsidDel="00000000" w:rsidR="00000000" w:rsidRPr="00000000">
            <w:rPr>
              <w:rFonts w:ascii="Arial Unicode MS" w:cs="Arial Unicode MS" w:eastAsia="Arial Unicode MS" w:hAnsi="Arial Unicode MS"/>
              <w:sz w:val="20"/>
              <w:szCs w:val="20"/>
              <w:rtl w:val="0"/>
            </w:rPr>
            <w:t xml:space="preserve">Figure 4. Hotspots and coldspots for the taxonomic and geographic shortfall of the five most diverse epiphyte families in the Neotropics. The map shows spatial clustering patterns of geographic shortfall for Araceae, Bromeliaceae, Orchidaceae, Piperaceae, and Polypodiaceae. Analyses were conducted using presence records compiled by Carmona-Higuita et al. (2023), aggregated into a grid cell resolution of  ≈ 55 km at the equator (Bergman projection) using the Getis-Ord Gi* statistic for local clustering. Grid cells were classified as hotspots (red: Gi* &gt; 1.96) or coldspots (blue: Gi* &lt; -1.96), with statistical significance at the 95% confidence level.</w:t>
          </w:r>
        </w:sdtContent>
      </w:sdt>
    </w:p>
    <w:p w:rsidR="00000000" w:rsidDel="00000000" w:rsidP="00000000" w:rsidRDefault="00000000" w:rsidRPr="00000000" w14:paraId="00000054">
      <w:pPr>
        <w:jc w:val="left"/>
        <w:rPr>
          <w:rFonts w:ascii="Times New Roman" w:cs="Times New Roman" w:eastAsia="Times New Roman" w:hAnsi="Times New Roman"/>
          <w:b w:val="1"/>
          <w:sz w:val="24"/>
          <w:szCs w:val="24"/>
        </w:rPr>
      </w:pPr>
      <w:r w:rsidDel="00000000" w:rsidR="00000000" w:rsidRPr="00000000">
        <w:rPr>
          <w:sz w:val="24"/>
          <w:szCs w:val="24"/>
        </w:rPr>
        <w:drawing>
          <wp:inline distB="114300" distT="114300" distL="114300" distR="114300">
            <wp:extent cx="4586288" cy="4388792"/>
            <wp:effectExtent b="0" l="0" r="0" t="0"/>
            <wp:docPr id="2118463918" name="image3.png"/>
            <a:graphic>
              <a:graphicData uri="http://schemas.openxmlformats.org/drawingml/2006/picture">
                <pic:pic>
                  <pic:nvPicPr>
                    <pic:cNvPr id="0" name="image3.png"/>
                    <pic:cNvPicPr preferRelativeResize="0"/>
                  </pic:nvPicPr>
                  <pic:blipFill>
                    <a:blip r:embed="rId10"/>
                    <a:srcRect b="8929" l="50320" r="0" t="7619"/>
                    <a:stretch>
                      <a:fillRect/>
                    </a:stretch>
                  </pic:blipFill>
                  <pic:spPr>
                    <a:xfrm>
                      <a:off x="0" y="0"/>
                      <a:ext cx="4586288" cy="438879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jc w:val="left"/>
        <w:rPr/>
      </w:pPr>
      <w:bookmarkStart w:colFirst="0" w:colLast="0" w:name="_heading=h.rz9mckps6v7s" w:id="19"/>
      <w:bookmarkEnd w:id="19"/>
      <w:r w:rsidDel="00000000" w:rsidR="00000000" w:rsidRPr="00000000">
        <w:rPr>
          <w:rtl w:val="0"/>
        </w:rPr>
        <w:t xml:space="preserve">ACKNOWLEDGEMENTS</w:t>
      </w:r>
    </w:p>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acknowledge the support provided to GML by the DFG for the project CONTINENT (ME 5087/1-1). </w:t>
      </w:r>
    </w:p>
    <w:p w:rsidR="00000000" w:rsidDel="00000000" w:rsidP="00000000" w:rsidRDefault="00000000" w:rsidRPr="00000000" w14:paraId="00000057">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 Contribution Statement</w:t>
      </w:r>
    </w:p>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GML, AZ and DJL contributed to the conceptualization. AM led the investigation and GML supervised the work. MJCH, AM and GML performed material preparation, data curation, and formal analysis. DJL contributed with visualization. The first draft of the manuscript was written by MJCH with AM contributions. All authors commented on previous versions of the manuscript. All authors read and approved the final manuscript.</w:t>
      </w:r>
    </w:p>
    <w:p w:rsidR="00000000" w:rsidDel="00000000" w:rsidP="00000000" w:rsidRDefault="00000000" w:rsidRPr="00000000" w14:paraId="00000059">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Conflict of Interest</w:t>
      </w:r>
    </w:p>
    <w:p w:rsidR="00000000" w:rsidDel="00000000" w:rsidP="00000000" w:rsidRDefault="00000000" w:rsidRPr="00000000" w14:paraId="000000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corresponding author confirms on behalf of all authors that there have been no involvements that might raise the question of bias in the work reported or in the conclusions, implications, or opinions stated.</w:t>
      </w:r>
    </w:p>
    <w:p w:rsidR="00000000" w:rsidDel="00000000" w:rsidP="00000000" w:rsidRDefault="00000000" w:rsidRPr="00000000" w14:paraId="0000005B">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availability statement</w:t>
      </w:r>
    </w:p>
    <w:p w:rsidR="00000000" w:rsidDel="00000000" w:rsidP="00000000" w:rsidRDefault="00000000" w:rsidRPr="00000000" w14:paraId="0000005C">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data supporting the findings of this study are provided in the Supporting Information of Carmona-Higuita et al., (2023). All scripts used for data processing and analysis are openly available on GitHub at Epiphyte-Shortfalls and have been archived in Zenodo with the DOI </w:t>
      </w:r>
      <w:r w:rsidDel="00000000" w:rsidR="00000000" w:rsidRPr="00000000">
        <w:rPr>
          <w:rFonts w:ascii="Times New Roman" w:cs="Times New Roman" w:eastAsia="Times New Roman" w:hAnsi="Times New Roman"/>
          <w:sz w:val="24"/>
          <w:szCs w:val="24"/>
          <w:rtl w:val="0"/>
        </w:rPr>
        <w:t xml:space="preserve">https://doi.org/10.5281/zenodo.15001563</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jc w:val="left"/>
        <w:rPr/>
      </w:pPr>
      <w:bookmarkStart w:colFirst="0" w:colLast="0" w:name="_heading=h.r7zstown65g5" w:id="20"/>
      <w:bookmarkEnd w:id="20"/>
      <w:r w:rsidDel="00000000" w:rsidR="00000000" w:rsidRPr="00000000">
        <w:rPr>
          <w:rtl w:val="0"/>
        </w:rPr>
        <w:t xml:space="preserve">REFERENCES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Amano, T., Lamming, J. D. L., &amp; Sutherland, W. J. (2016). Spatial Gaps in Global Biodiversity Information and the Role of Citizen Science.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BioScience</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66</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(5), 393–400. https://doi.org/10.1093/biosci/biw022</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Araujo, M. L., Quaresma, A. C., &amp; Ramos, F. N. (2022). GBIF information is not enough: National database improves the inventory completeness of Amazonian epiphytes.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Biodiversity and Conservation</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https://doi.org/10.1007/s10531-022-02458-x</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Araujo, M. L., &amp; Ramos, F. N. (2021). Targeting the survey efforts: Gaps and biases in epiphyte sampling at a biodiversity hotspot.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Forest Ecology and Management</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498</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119544. https://doi.org/10.1016/j.foreco.2021.119544</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Benavides, A. M., Duque M., A. J., Duivenvoorden, J. F., Vasco, A., &amp; Callejas, R. (2005). A First Quantitative Census of Vascular Epiphytes in Rain forests of Colombian Amazonia.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Biodiversity and Conservation</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14</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(3), 739–758. https://doi.org/10.1007/s10531-004-3920-9</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Benzing, D. H. (1990). Vascular epiphytes. In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Forest canopies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(pp. 175–211). Cambridge University Press.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Bivand, R. S., Keitt, T. H., &amp; Rowlingson, B. (2021).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RGDAL: bindings for the ’geospatial’ data abstraction library. R package v.1.5-23</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https://CRAN.R-project.org/package=rgdal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Bivand, R. S., &amp; Wong, D. W. S. (2018). Comparing implementations of global and local indicators of spatial association.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TEST</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27</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(3), 716–748. https://doi.org/10.1007/s11749-018-0599-x</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Brown, M. J. M., Bachman, S. P., &amp; Nic Lughadha, E. (2023). Three in four undescribed plant species are threatened with extinction.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New Phytologist</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240</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(4), 1340–1344. https://doi.org/10.1111/nph.19214</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Cardelus, C. L., Colwell, R. K., &amp; Watkins, J. E. (2006). Vascular epiphyte distribution patterns: Explaining the mid-elevation richness peak.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Journal of Ecology</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94</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(1), 144–156. https://doi.org/10.1111/j.1365-2745.2005.01052.x</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Carmona-Higuita, M. J., Mendieta-Leiva, G., Gómez-Díaz, J. A., Villalobos, F., Ramos, F. N., Elias, J. P. C., Jiménez-López, D. A., Zuluaga, A., Holst, B., Kessler, M., Mathieu, G., Zizka, A., Zotz, G., &amp; Krömer, T. (2023).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Conservation status of vascular epiphytes in the Neotropics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[Preprint]. In Review. https://doi.org/10.21203/rs.3.rs-2773328/v1</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Carmona‐Higuita, M. J., Mendieta‐Leiva, G., Gómez‐Díaz, J. A., Villalobos, F., Ramos, F. N., Elias, J. P. C., Jiménez‐López, D. A., Zuluaga, A., Holst, B., Kessler, M., Mathieu, G., Zizka, A., Zotz, G., &amp; Krömer, T. (2025). Endemism Centres of the Five Richest Vascular Epiphyte Families in the Neotropics.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Journal of Biogeography</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52</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(1), 80–91. https://doi.org/10.1111/jbi.15016</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Cheek, M., Nic Lughadha, E., Kirk, P., Lindon, H., Carretero, J., Looney, B., Douglas, B., Haelewaters, D., Gaya, E., Llewellyn, T., Ainsworth, A. M., Gafforov, Y., Hyde, K., Crous, P., Hughes, M., Walker, B. E., Campostrini Forzza, R., Wong, K. M., &amp; Niskanen, T. (2020). New scientific discoveries: Plants and fungi.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PLANTS, PEOPLE, PLANET</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(5), 371–388. https://doi.org/10.1002/ppp3.10148</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de Lima, R. A. F., Phillips, O. L., Duque, A., Tello, J. S., Davies, S. J., De Oliveira, A. A., Muller, S., Honorio Coronado, E. N., Vilanova, E., Cuni-Sanchez, A., Baker, T. R., Ryan, C. M., Malizia, A., Lewis, S. L., Ter Steege, H., Ferreira, J., Marimon, B. S., Luu, H. T., Imani, G., … Vásquez, R. (2022). Making forest data fair and open.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Nature Ecology &amp; Evolution</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6</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(6), 656–658. https://doi.org/10.1038/s41559-022-01738-7</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Delves, J., Albán‐Castillo, J., Cano, A., Fernández Aviles, C., Gagnon, E., Gonzáles, P., Knapp, S., León, B., Marcelo‐Peña, J. L., Reynel, C., Rojas Gonzáles, R. D. P., Rodríguez Rodríguez, E. F., Särkinen, T., Vásquez Martínez, R., &amp; Moonlight, P. W. (2024). Small and in‐country herbaria are vital for accurate plant threat assessments: A case study from Peru.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PLANTS, PEOPLE, PLANET</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6</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(1), 174–185. https://doi.org/10.1002/ppp3.10425</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Epiphyte Inventory Group. (2025).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EpIG: Epiphyte Invent​ory Group​​. A global initiative to bring together epiphyte inventory data from across the world</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hyperlink r:id="rId11">
        <w:r w:rsidDel="00000000" w:rsidR="00000000" w:rsidRPr="00000000">
          <w:rPr>
            <w:rFonts w:ascii="Times New Roman" w:cs="Times New Roman" w:eastAsia="Times New Roman" w:hAnsi="Times New Roman"/>
            <w:b w:val="0"/>
            <w:i w:val="0"/>
            <w:smallCaps w:val="0"/>
            <w:strike w:val="0"/>
            <w:color w:val="1155cc"/>
            <w:sz w:val="24"/>
            <w:szCs w:val="24"/>
            <w:highlight w:val="white"/>
            <w:u w:val="single"/>
            <w:vertAlign w:val="baseline"/>
            <w:rtl w:val="0"/>
          </w:rPr>
          <w:t xml:space="preserve">https://www.epigdatabase.org/</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Escribano, N., Ariño, A. H., &amp; Galicia, D. (2016). Biodiversity data obsolescence and land uses changes. </w:t>
      </w:r>
      <w:r w:rsidDel="00000000" w:rsidR="00000000" w:rsidRPr="00000000">
        <w:rPr>
          <w:rFonts w:ascii="Times New Roman" w:cs="Times New Roman" w:eastAsia="Times New Roman" w:hAnsi="Times New Roman"/>
          <w:i w:val="1"/>
          <w:sz w:val="24"/>
          <w:szCs w:val="24"/>
          <w:rtl w:val="0"/>
        </w:rPr>
        <w:t xml:space="preserve">PeerJ</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e2743. https://doi.org/10.7717/peerj.2743</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Feeley, K. (2015). Are We Filling the Data Void? An Assessment of the Amount and Extent of Plant Collection Records and Census Data Available for Tropical South America.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PLOS ONE</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(4), e0125629. https://doi.org/10.1371/journal.pone.0125629</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Foster, P. (2001). The potential negative impacts of global climate change on tropical montane cloud forests.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Earth-Science Reviews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55</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(1–2), 73–106. https://doi.org/10.1016/S0012-8252(01)00056-3</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Freitas, L., Salino, A., Neto, L. M., Almeida, T. E., Mortara, S. R., Stehmann, J. R., Amorim, A. M., Guimarães, E. F., Coelho, M. N., Zanin, A., &amp; Forzza, R. C. (2016). A comprehensive checklist of vascular epiphytes of the Atlantic Forest reveals outstanding endemic rates.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PhytoKeys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58</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(1), 65–79. https://doi.org/10.3897/phytokeys.58.5643</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Freudenstein, J. V., &amp; Chase, M. W. (2015). Phylogenetic relationships in Epidendroideae (Orchidaceae), one of the great flowering plant radiations: Progressive specialization and diversification.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Annals of Botany</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115</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(4), 665–681. https://doi.org/10.1093/aob/mcu253</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Garcillán, P. P., &amp; Ezcurra, E. (2011). Sampling procedures and species estimation: Testing the effectiveness of herbarium data against vegetation sampling in an oceanic island: Testing herbarium data against vegetation sampling.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Journal of Vegetation Science</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22</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(2), 273–280. https://doi.org/10.1111/j.1654-1103.2010.01247.x</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Gasper, A. L. D., Eisenlohr, P. V., &amp; Salino, A. (2016). Improving collection efforts to avoid loss of biodiversity: Lessons from comprehensive sampling of lycophytes and ferns in the subtropical Atlantic Forest.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Acta Botanica Brasilica</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30</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(2), 166–175. https://doi.org/10.1590/0102-33062015abb0292</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Gaston, K. J. (2003).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The structure and dynamics of geographic ranges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Oxford University Press.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Gentry, A., &amp; Dodson, C. (1987). Diversity and biogeography of Neotropical vascular epiphytes.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Annals of the Missouri Botanical Garden</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74</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(2), 205–233.</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Getis, A., &amp; Ord, J. K. (1992). The Analysis of Spatial Association by Use of Distance Statistics.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Geographical Analysis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24</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(3), 189–206. https://doi.org/10.1111/j.1538-4632.1992.tb00261.x</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Guedes, T. B., Sawaya, R. J., Zizka, A., Laffan, S., Faurby, S., Pyron, R. A., Bérnils, R. S., Jansen, M., Passos, P., Prudente, A. L. C., Cisneros‐Heredia, D. F., Braz, H. B., Nogueira, C. D. C., &amp; Antonelli, A. (2018). Patterns, biases and prospects in the distribution and diversity of Neotropical snakes.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Global Ecology and Biogeography</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27</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(1), 14–21. https://doi.org/10.1111/geb.12679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Guisande, C., &amp; Lobo, J. M. (2019). </w:t>
      </w:r>
      <w:r w:rsidDel="00000000" w:rsidR="00000000" w:rsidRPr="00000000">
        <w:rPr>
          <w:rFonts w:ascii="Times New Roman" w:cs="Times New Roman" w:eastAsia="Times New Roman" w:hAnsi="Times New Roman"/>
          <w:i w:val="1"/>
          <w:sz w:val="24"/>
          <w:szCs w:val="24"/>
          <w:rtl w:val="0"/>
        </w:rPr>
        <w:t xml:space="preserve">Discriminating well surveyed spatial units from exhaustive biodiversity databases</w:t>
      </w:r>
      <w:r w:rsidDel="00000000" w:rsidR="00000000" w:rsidRPr="00000000">
        <w:rPr>
          <w:rFonts w:ascii="Times New Roman" w:cs="Times New Roman" w:eastAsia="Times New Roman" w:hAnsi="Times New Roman"/>
          <w:sz w:val="24"/>
          <w:szCs w:val="24"/>
          <w:rtl w:val="0"/>
        </w:rPr>
        <w:t xml:space="preserve"> (Version R package version 2.0) [Computer software]. http://cran. r-project. org/web/packages/KnowBR</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Guzmán-Jacob, V., Weigelt, P., Craven, D., Zotz, G., Krömer, T., &amp; Kreft, H. (2021). Biovera-Epi: A new database on species diversity, community composition and leaf functional traits of vascular epiphytes along gradients of elevation and forest-use intensity in Mexico.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Biodiversity Data Journal</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9</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e71974. https://doi.org/10.3897/BDJ.9.e71974</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Haque, Md. M., Beaumont, L. J., &amp; Nipperess, D. A. (2020). Taxonomic shortfalls in digitised collections of Australia’s flora.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Biodiversity and Conservation</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29</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(1), 333–343. https://doi.org/10.1007/s10531-019-01885-7</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Heberling, J. M., Miller, J. T., Noesgaard, D., Weingart, S. B., &amp; Schigel, D. (2021). Data integration enables global biodiversity synthesis.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Proceedings of the National Academy of Sciences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118</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(6), e2018093118. https://doi.org/10.1073/pnas.2018093118</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Hijmans, R. J. (2021).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RASTER: geographic data analysis and modeling. R package v.3.4- 13</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URL https://CRAN.R-project.org/package=raster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sz w:val="24"/>
          <w:szCs w:val="24"/>
          <w:rtl w:val="0"/>
        </w:rPr>
        <w:t xml:space="preserve">Hopkins, M. J. G. (2019). Are we close to knowing the plant diversity of the Amazon? </w:t>
      </w:r>
      <w:r w:rsidDel="00000000" w:rsidR="00000000" w:rsidRPr="00000000">
        <w:rPr>
          <w:rFonts w:ascii="Times New Roman" w:cs="Times New Roman" w:eastAsia="Times New Roman" w:hAnsi="Times New Roman"/>
          <w:i w:val="1"/>
          <w:sz w:val="24"/>
          <w:szCs w:val="24"/>
          <w:rtl w:val="0"/>
        </w:rPr>
        <w:t xml:space="preserve">Anais Da Academia Brasileira de Ciências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91</w:t>
      </w:r>
      <w:r w:rsidDel="00000000" w:rsidR="00000000" w:rsidRPr="00000000">
        <w:rPr>
          <w:rFonts w:ascii="Times New Roman" w:cs="Times New Roman" w:eastAsia="Times New Roman" w:hAnsi="Times New Roman"/>
          <w:sz w:val="24"/>
          <w:szCs w:val="24"/>
          <w:rtl w:val="0"/>
        </w:rPr>
        <w:t xml:space="preserve">(suppl 3), e20190396. https://doi.org/10.1590/0001-3765201920190396</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Hortal, J., De Bello, F., Diniz-Filho, J. A. F., Lewinsohn, T. M., Lobo, J. M., &amp; Ladle, R. J. (2015). Seven Shortfalls that Beset Large-Scale Knowledge of Biodiversity.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Annual Review of Ecology, Evolution, and Systematics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46</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(1), 523–549. https://doi.org/10.1146/annurev-ecolsys-112414-054400</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Jiménez-López, D. A., Carmona-Higuita, M. J., Mendieta-Leiva, G., Martínez-Camilo, R., Espejo-Serna, A., Krömer, T., Martínez-Meléndez, N., &amp; Ramírez-Marcial, N. (2023). Linking different resources to recognize vascular epiphyte richness and distribution in a mountain system in southeastern Mexico.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Flora</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152261. https://doi.org/10.1016/j.flora.2023.152261</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Jiménez-López, D. A., Gallardo-Cruz, J. A., Véliz, M. E., Martínez-Camilo, R., Méndez, C., Solórzano, J. V., Velázquez-Méndez, L., Carabias, J., García-Hidalgo, G., Peralta-Carreta, C., Sánchez-González, M., Castillo-Acosta, O., Luna-Kamyshev, N. M., Villaseñor, J. L., &amp; Meave, J. A. (2023). High vascular plant species richness in the Usumacinta River Basin: A comprehensive floristic checklist for a natural region in the Mesoamerican biodiversity hotspot.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Botanical Sciences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101</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(3), 1–62. https://doi.org/doi.org/10.17129/botsci.3253</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Kelly, D. L., O’Donovan, G., Feehan, J., Murphy, S., Drangeid, S. O., &amp; Marcano-Berti, L. (2004). The epiphyte communities of a montane rain forest in the Andes of Venezuela: Patterns in the distribution of the flora.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Journal of Tropical Ecology</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20</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(6), 643–666. https://doi.org/10.1017/S0266467404001671</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Köster, N., Friedrich, K., Nieder, J., &amp; Barthlott, W. (2009). Conservation of epiphyte diversity in an Andean landscape transformed by human land use.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Conservation Biology : The Journal of the Society for Conservation Biology</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23</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(4), 911–919. https://doi.org/10.1111/j.1523-1739.2008.01164.x</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Kreft, H., Köster, N., Küper, W., Nieder, J., &amp; Barthlott, W. (2004). Diversity and biogeography of vascular epiphytes in Western Amazonia, Yasuní, Ecuador.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Journal of Biogeography</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31</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(9), 1463–1476. https://doi.org/10.1111/j.1365-2699.2004.01083.x</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Lees, A. C., Rosenberg, K. V., Ruiz-Gutierrez, V., Marsden, S., Schulenberg, T. S., &amp; Rodewald, A. D. (2020). A roadmap to identifying and filling shortfalls in Neotropical ornithology.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The Auk</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137</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(4), ukaa048. https://doi.org/10.1093/auk/ukaa048</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Leite, G. A., Pinheiro, R. T., Marcelino, D. G., Figueira, J. E. C., &amp; Delabie, J. H. C. (2013). Foraging Behavior of Kaempfer’s Woodpecker (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Celeus obrieni</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 a Bamboo Specialist.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The Condor</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115</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(2), 221–229. https://doi.org/10.1525/cond.2013.120062</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Lobo, J. M., Hortal, J., Yela, J. L., Millán, A., Sánchez-Fernández, D., García-Roselló, E., González-Dacosta, J., Heine, J., González-Vilas, L., &amp; Guisande, C. (2018). KnowBR: An application to map the geographical variation of survey effort and identify well-surveyed areas from biodiversity databases.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Ecological Indicators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91</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241–248. https://doi.org/10.1016/j.ecolind.2018.03.077</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Lomolino, M. V. (2004). Conservation biogeography. In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Lomolino, L. R. Heaney. 2004. Frontiers of Biogeography: New Directions in the Geography of Nature.</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(p. 293). Sinauer Associates, Inc.</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Luján, M., Lemos, R. M., Lucas, E., Michelangeli, F. A., Prance, G., Pennington, T. D., Rzedowski, J., Santamaría-Aguilar, D., Serpell, E., Sothers, C., &amp; Zuntini, A. R. (2023).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Trials and tribulations of Neotropical plant taxonomy: Pace of tree species description</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Plant Biology. https://doi.org/10.1101/2023.09.05.556231</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Maldonado, C., Molina, C. I., Zizka, A., Persson, C., Taylor, C. M., Albán, J., Chilquillo, E., Rønsted, N., &amp; Antonelli, A. (2015). Estimating species diversity and distribution in the era of Big Data: To what extent can we trust public databases?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Global Ecology and Biogeography</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24</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(8), 973–984. https://doi.org/10.1111/geb.12326</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Marin, A. C., Wolf, J. H. D., Oostermeijer, J. G. B., &amp; den Nijs, J. C. M. (2008). Establishment of Epiphytic Bromeliads in Successional Tropical Premontane Forests in Costa Rica.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Biotropica</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40</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(4), 441–448.</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Mendieta-Leiva, G., Ramos, F. N., Elias, J. P. C., Zotz, G., Acuña-Tarazona, M., Alvim, F. S., Barbosa, D. E. F., Basílio, G. A., Batke, S. P., Benavides, A. M., Blum, C. T., Boelter, C. R., Brancalion, P. H. S., Carmona, M. J., Carvalho, L. P., de la Rosa-Manzano, E., Einzmann, H. J. R., Fernández, M., Furtado, S. G., … Jiménez-Alfaro, B. (2020). EpIG-DB: A database of vascular epiphyte assemblages in the Neotropics.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Journal of Vegetation Science</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31</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(3), 1–11. https://doi.org/10.1111/jvs.12867</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Mendieta-Leiva, G., &amp; Zotz, G. (2015). A conceptual framework for the analysis of vascular epiphyte assemblages.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Perspectives in Plant Ecology, Evolution and Systematics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17</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(6), 510–521. https://doi.org/10.1016/j.ppees.2015.09.003</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Meyer, C., Kreft, H., Guralnick, R., &amp; Jetz, W. (2015). Global priorities for an effective information basis of biodiversity distributions.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Nature Communications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6</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(1), 8221. https://doi.org/10.1038/ncomms9221</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Meyer, C., Weigelt, P., &amp; Kreft, H. (2016). Multidimensional biases, gaps and uncertainties in global plant occurrence information.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Ecology Letters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19</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(8), 992–1006. https://doi.org/10.1111/ele.12624</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Morrone, J. J., Escalante, T., Rodríguez-Tapia, G., Carmona, A., Arana, M., &amp; Mercado-Gómez, J. D. (2022). Biogeographic regionalization of the Neotropical region: New map and shapefile.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Anais Da Academia Brasileira de Ciências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94</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(1), e20211167. https://doi.org/10.1590/0001-3765202220211167</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Nicolson, N., Trekels, M., Groom, Q. J., Knapp, S., &amp; Paton, A. J. (2023). Global access to nomenclatural botanical resources: Evaluating open access availability.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PLANTS, PEOPLE, PLANET</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(6), 899–907. https://doi.org/10.1002/ppp3.10438</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Nieder, J., Prosperi, J., &amp; Michaloud, G. (2001). Epiphytes and their contribution to canopy diversity.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Plant Ecology</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153</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51–63.</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Oliveira, U., Paglia, A. P., Brescovit, A. D., De Carvalho, C. J. B., Silva, D. P., Rezende, D. T., Leite, F. S. F., Batista, J. A. N., Barbosa, J. P. P. P., Stehmann, J. R., Ascher, J. S., De Vasconcelos, M. F., De Marco, P., Löwenberg‐Neto, P., Dias, P. G., Ferro, V. G., &amp; Santos, A. J. (2016). The strong influence of collection bias on biodiversity knowledge shortfalls of </w:t>
      </w:r>
      <w:r w:rsidDel="00000000" w:rsidR="00000000" w:rsidRPr="00000000">
        <w:rPr>
          <w:rFonts w:ascii="Times New Roman" w:cs="Times New Roman" w:eastAsia="Times New Roman" w:hAnsi="Times New Roman"/>
          <w:b w:val="0"/>
          <w:i w:val="0"/>
          <w:smallCaps w:val="1"/>
          <w:strike w:val="0"/>
          <w:color w:val="1c1d1e"/>
          <w:sz w:val="24"/>
          <w:szCs w:val="24"/>
          <w:highlight w:val="white"/>
          <w:u w:val="none"/>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razilian terrestrial biodiversity.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Diversity and Distributions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22</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(12), 1232–1244. https://doi.org/10.1111/ddi.12489</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Ondo, I., Dhanjal‐Adams, K. L., Pironon, S., Silvestro, D., Colli‐Silva, M., Deklerck, V., Grace, O. M., Monro, A. K., Nicolson, N., Walker, B., &amp; Antonelli, A. (2024). Plant diversity darkspots for global collection priorities.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New Phytologist</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244</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(2), 719–733. https://doi.org/10.1111/nph.20024</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Pebesma, E. (2018). Simple Features for R: Standardized Support for Spatial Vector Data.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The R Journal</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(1), 439. https://doi.org/10.32614/RJ-2018-009</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Perez, T. M., Valverde-Barrantes, O., Bravo, C., Taylor, T. C., Fadrique, B., Hogan, J. A., Pardo, C. J., Stroud, J. T., Baraloto, C., &amp; Feeley, K. J. (2019). Botanic gardens are an untapped resource for studying the functional ecology of tropical plants.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Philosophical Transactions of the Royal Society B: Biological Sciences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374</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(1763), 20170390. https://doi.org/10.1098/rstb.2017.0390</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Prance, G. T., Beentje, H., Dransfield, J., &amp; Johns, R. (2000). The Tropical Flora Remains Undercollected.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Annals of the Missouri Botanical Garden</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87</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(1), 67. https://doi.org/10.2307/2666209</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Quaresma, A., Zartman, C. E., Piedade, M. T. F., Wittmann, F., Jardim, M. A. G., Irume, M. V., Benavides, A. M., Freitas, L., Toledo, J. J., Boelter, C. R., Obermüller, F., Duque, A. J., Klein, V. P., Mari, M. L. G., Schöngart, J., Arenas, E., Pos, E. T., Vasco, A., Ek, R., … Ter Steege, H. (2022). The Amazon Epiphyte Network: A First Glimpse Into Continental-Scale Patterns of Amazonian Vascular Epiphyte Assemblages.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Frontiers in Forests and Global Change</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828759. https://doi.org/10.3389/ffgc.2022.828759</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R. Core Team. (2024).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_R: A Language and Environment for Statistical Computing_</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[Computer software]. R Foundation for Statistical Computing. &lt;https://www.R-project.org/&gt;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Ramírez‐Barahona, S., Cuervo‐Robayo, A. P., &amp; Magallón, S. (2023). Assessing digital accessible botanical knowledge and priorities for exploration and discovery of plant diversity across Mesoamerica.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New Phytologist</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240</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(4), 1659–1672. https://doi.org/10.1111/nph.19190</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Ramos, F. N., De Araujo, M. L., Da Silva Assis, I., Basilio, G. A., Barbosa, D. E. F., Correa, T. A., Delgado, C. N., Furtado, S. G., Marquez, G., Soares, J. S., Yañez, A., Silva, S. M., Neto, L. M., &amp; Elias, J. P. C. (2024). Vascular epiphytes of the South America Dry Diagonal: Characterising their occurrence and richness in this neglected region.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New Zealand Journal of Botany</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1–18. https://doi.org/10.1080/0028825X.2024.2387188</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Ramos, F. N., Mortara, S. R., &amp; Elias, J. P. C. (2021). Vascular Epiphytes of the Atlantic Forest: Diversity and Community Ecology. In M. C. M. Marques &amp; C. E. V. Grelle (Eds.),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The Atlantic Forest</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(pp. 133–149). Springer International Publishing. https://doi.org/10.1007/978-3-030-55322-7_7</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Ramos, F. N., Mortara, S. R., Monalisa‐Francisco, N., Elias, J. P. C., Neto, L. M., Freitas, L., Kersten, R., Amorim, A. M., Matos, F. B., Nunes‐Freitas, A. F., Alcantara, S., Alexandre, M. H. N., Almeida‐Scabbia, R. J., Almeida, O. J. G., Alves, F. E., Oliveira Alves, R. M., Alvim, F. S., Andrade, A. C. S., Andrade, S., … Ribeiro, M. C. (2019). ATLANTIC EPIPHYTES: A data set of vascular and non‐vascular epiphyte plants and lichens from the Atlantic Forest.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Ecology</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100</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(2), e02541. https://doi.org/10.1002/ecy.2541</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Raven, P. H., Gereau, R. E., Phillipson, P. B., Chatelain, C., Jenkins, C. N., &amp; Ulloa Ulloa, C. (2020). The distribution of biodiversity richness in the tropics.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Science Advances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6</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(37), eabc6228. https://doi.org/10.1126/sciadv.abc6228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Rossi, F., &amp; Becker, G. (2019). Creating forest management units with Hot Spot Analysis (Getis-Ord Gi*) over a forest affected by mixed-severity fires. </w:t>
      </w:r>
      <w:r w:rsidDel="00000000" w:rsidR="00000000" w:rsidRPr="00000000">
        <w:rPr>
          <w:rFonts w:ascii="Times New Roman" w:cs="Times New Roman" w:eastAsia="Times New Roman" w:hAnsi="Times New Roman"/>
          <w:i w:val="1"/>
          <w:sz w:val="24"/>
          <w:szCs w:val="24"/>
          <w:rtl w:val="0"/>
        </w:rPr>
        <w:t xml:space="preserve">Australian Forestry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82</w:t>
      </w:r>
      <w:r w:rsidDel="00000000" w:rsidR="00000000" w:rsidRPr="00000000">
        <w:rPr>
          <w:rFonts w:ascii="Times New Roman" w:cs="Times New Roman" w:eastAsia="Times New Roman" w:hAnsi="Times New Roman"/>
          <w:sz w:val="24"/>
          <w:szCs w:val="24"/>
          <w:rtl w:val="0"/>
        </w:rPr>
        <w:t xml:space="preserve">(4), 166–175. https://doi.org/10.1080/00049158.2019.1678714</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Roy, M., Vasco‐Palacios, A., Geml, J., Buyck, B., Delgat, L., Giachini, A., Grebenc, T., Harrower, E., Kuhar, F., Magnago, A., Rinaldi, A. C., Schimann, H., Selosse, M., Sulzbacher, M. A., Wartchow, F., &amp; Neves, M. (2017). The (re)discovery of ectomycorrhizal symbioses in Neotropical ecosystems sketched in Florianópolis.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New Phytologist</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214</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(3), 920–923. https://doi.org/10.1111/nph.14531</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Sabatini, F. M., Jiménez-Alfaro, B., Jandt, U., Chytrý, M., Field, R., Kessler, M., Lenoir, J., Schrodt, F., Wiser, S. K., Arfin Khan, M. A. S., Attorre, F., Cayuela, L., De Sanctis, M., Dengler, J., Haider, S., Hatim, M. Z., Indreica, A., Jansen, F., Pauchard, A., … Bruelheide, H. (2022). Global patterns of vascular plant alpha diversity.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Nature Communications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13</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(1), 4683. https://doi.org/10.1038/s41467-022-32063-z</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Schellenberger Costa, D., Boehnisch, G., Freiberg, M., Govaerts, R., Grenié, M., Hassler, M., Kattge, J., Muellner‐Riehl, A. N., Rojas Andrés, B. M., Winter, M., Watson, M., Zizka, A., &amp; Wirth, C. (2023). The big four of plant taxonomy – a comparison of global checklists of vascular plant names.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New Phytologist</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240</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(4), 1687–1702. https://doi.org/10.1111/nph.18961</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Schröter, M., Kraemer, R., Ceauşu, S., &amp; Rusch, G. M. (2017). Incorporating threat in hotspots and coldspots of biodiversity and ecosystem services.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Ambio</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46</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(7), 756–768. https://doi.org/10.1007/s13280-017-0922-x</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Soberón, J., &amp; Peterson, A. T. (2009). Monitoring Biodiversity Loss with Primary Species-occurrence Data: Toward National-level Indicators for the 2010 Target of the Convention on Biological Diversity.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AMBIO: A Journal of the Human Environment</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38</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(1), 29–34. https://doi.org/10.1579/0044-7447-38.1.29</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Sobral-Souza, T., Stropp, J., Santos, J. P., Prasniewski, V. M., Szinwelski, N., Vilela, B., Freitas, A. V. L., Ribeiro, M. C., &amp; Hortal, J. (2021). Knowledge gaps hamper understanding the relationship between fragmentation and biodiversity loss: The case of Atlantic Forest fruit-feeding butterflies.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PeerJ</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9</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e11673. https://doi.org/10.7717/peerj.11673</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Stropp, J., Ladle, R. J., M. Malhado, A. C., Hortal, J., Gaffuri, J., H. Temperley, W., Olav Skøien, J., &amp; Mayaux, P. (2016). Mapping ignorance: 300 years of collecting flowering plants in Africa.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Global Ecology and Biogeography</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(9), 1085–1096. https://doi.org/10.1111/geb.12468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Stropp, J., Umbelino, B., Correia, R. A., Campos‐Silva, J. V., Ladle, R. J., &amp; Malhado, A. C. M. (2020). The ghosts of forests past and future: Deforestation and botanical sampling in the Brazilian Amazon. </w:t>
      </w:r>
      <w:r w:rsidDel="00000000" w:rsidR="00000000" w:rsidRPr="00000000">
        <w:rPr>
          <w:rFonts w:ascii="Times New Roman" w:cs="Times New Roman" w:eastAsia="Times New Roman" w:hAnsi="Times New Roman"/>
          <w:i w:val="1"/>
          <w:sz w:val="24"/>
          <w:szCs w:val="24"/>
          <w:rtl w:val="0"/>
        </w:rPr>
        <w:t xml:space="preserve">Ecography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43</w:t>
      </w:r>
      <w:r w:rsidDel="00000000" w:rsidR="00000000" w:rsidRPr="00000000">
        <w:rPr>
          <w:rFonts w:ascii="Times New Roman" w:cs="Times New Roman" w:eastAsia="Times New Roman" w:hAnsi="Times New Roman"/>
          <w:sz w:val="24"/>
          <w:szCs w:val="24"/>
          <w:rtl w:val="0"/>
        </w:rPr>
        <w:t xml:space="preserve">(7), 979–989. https://doi.org/10.1111/ecog.05026</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Taylor, A., Weigelt, P., Denelle, P., Cai, L., &amp; Kreft, H. (2023). The contribution of plant life and growth forms to global gradients of vascular plant diversity.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New Phytologist</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nph.19011. https://doi.org/10.1111/nph.19011</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Taylor, A., Zotz, G., Weigelt, P., Cai, L., Karger, D. N., König, C., &amp; Kreft, H. (2021). Vascular epiphytes contribute disproportionately to global centres of plant diversity.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Global Ecology and Biogeography</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31</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(1), 62–74. https://doi.org/10.1111/geb.13411</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ter Steege, H., Vaessen, R. W., Cárdenas-López, D., Sabatier, D., Antonelli, A., De Oliveira, S. M., Pitman, N. C. A., Jørgensen, P. M., &amp; Salomão, R. P. (2016). The discovery of the Amazonian tree flora with an updated checklist of all known tree taxa.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Scientific Reports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6</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(1), 29549. https://doi.org/10.1038/srep29549</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Tietje, M., Antonelli, A., Forest, F., Govaerts, R., Smith, S. A., Sun, M., Baker, W. J., &amp; Eiserhardt, W. L. (2023). Global hotspots of plant phylogenetic diversity.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New Phytologist</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240</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(4), 1636–1646. https://doi.org/10.1111/nph.19151</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Ugland, K. I., Gray, J. S., &amp; Ellingsen, K. E. (2003). The species-accumulation curve and estimation of species richness.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Journal of Animal Ecology</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72</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(5), 888–897.</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Vargas, C. A., Bottin, M., Sarkinen, T., Richardson, J. E., Celis, M., Villanueva, B., &amp; Sanchez, A. (2024). How to fill the biodiversity data gap: Is it better to invest in fieldwork or curation?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Plant Diversity</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46</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(1), 39–48. https://doi.org/10.1016/j.pld.2023.06.003</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Vargas, C. A., Bottin, M., Särkinen, T., Richardson, J. E., Raz, L., Garzon-Lopez, C. X., &amp; Sanchez, A. (2022). Environmental and geographical biases in plant specimen data from the Colombian Andes.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Botanical Journal of the Linnean Society</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200</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(4), 451–464. https://doi.org/10.1093/botlinnean/boac035</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Vitt, P., Taylor, A., Rakosy, D., Kreft, H., Meyer, A., Weigelt, P., &amp; Knight, T. M. (2023). Global conservation prioritization for the Orchidaceae.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Scientific Reports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13</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(1), 6718. https://doi.org/10.1038/s41598-023-30177-y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Wickham, H. (2009).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ggplot2: Elegant Graphics for Data Analysis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Springer New York. https://doi.org/10.1007/978-0-387-98141-3</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Wickham, H., Hester, J., &amp; Chang, W. (2019).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Devtools: Tools to Make Developing R Packages Easier. R package version 2.0.2.</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https://cran.r-project.org/package=devtools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Woods, C. L., Cardelús, C. L., &amp; DeWalt, S. J. (2015). Microhabitat associations of vascular epiphytes in a wet tropical forest canopy.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Journal of Ecology</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103</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(2), 421–430.</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Zizka, A., Antunes Carvalho, F., Calvente, A., Rocio Baez-Lizarazo, M., Cabral, A., Coelho, J. F. R., Colli-Silva, M., Fantinati, M. R., Fernandes, M. F., Ferreira-Araújo, T., Gondim Lambert Moreira, F., Santos, N. M. C., Santos, T. A. B., dos Santos-Costa, R. C., Serrano, F. C., Alves da Silva, A. P., de Souza Soares, A., Cavalcante de Souza, P. G., Calisto Tomaz, E., … Antonelli, A. (2020). No one-size-fits-all solution to clean GBIF.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PeerJ</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8</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e9916. https://doi.org/10.7717/peerj.9916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Zizka, A., Antonelli, A., &amp; Silvestro, D. (2021). </w:t>
      </w:r>
      <w:r w:rsidDel="00000000" w:rsidR="00000000" w:rsidRPr="00000000">
        <w:rPr>
          <w:rFonts w:ascii="Times New Roman" w:cs="Times New Roman" w:eastAsia="Times New Roman" w:hAnsi="Times New Roman"/>
          <w:i w:val="1"/>
          <w:sz w:val="24"/>
          <w:szCs w:val="24"/>
          <w:rtl w:val="0"/>
        </w:rPr>
        <w:t xml:space="preserve">Sampbias</w:t>
      </w:r>
      <w:r w:rsidDel="00000000" w:rsidR="00000000" w:rsidRPr="00000000">
        <w:rPr>
          <w:rFonts w:ascii="Times New Roman" w:cs="Times New Roman" w:eastAsia="Times New Roman" w:hAnsi="Times New Roman"/>
          <w:sz w:val="24"/>
          <w:szCs w:val="24"/>
          <w:rtl w:val="0"/>
        </w:rPr>
        <w:t xml:space="preserve"> , a method for quantifying geographic sampling biases in species distribution data. </w:t>
      </w:r>
      <w:r w:rsidDel="00000000" w:rsidR="00000000" w:rsidRPr="00000000">
        <w:rPr>
          <w:rFonts w:ascii="Times New Roman" w:cs="Times New Roman" w:eastAsia="Times New Roman" w:hAnsi="Times New Roman"/>
          <w:i w:val="1"/>
          <w:sz w:val="24"/>
          <w:szCs w:val="24"/>
          <w:rtl w:val="0"/>
        </w:rPr>
        <w:t xml:space="preserve">Ecography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44</w:t>
      </w:r>
      <w:r w:rsidDel="00000000" w:rsidR="00000000" w:rsidRPr="00000000">
        <w:rPr>
          <w:rFonts w:ascii="Times New Roman" w:cs="Times New Roman" w:eastAsia="Times New Roman" w:hAnsi="Times New Roman"/>
          <w:sz w:val="24"/>
          <w:szCs w:val="24"/>
          <w:rtl w:val="0"/>
        </w:rPr>
        <w:t xml:space="preserve">(1), 25–32. https://doi.org/10.1111/ecog.05102</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0"/>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Zotz, G. (2016).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Plants on plants – the biology of vascular epiphytes</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Springer. https://doi.org/10.1007/978-3-319-39237-0_1</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hanging="720"/>
        <w:jc w:val="both"/>
        <w:rPr>
          <w:rFonts w:ascii="Times New Roman" w:cs="Times New Roman" w:eastAsia="Times New Roman" w:hAnsi="Times New Roman"/>
          <w:b w:val="1"/>
          <w:i w:val="0"/>
          <w:smallCaps w:val="0"/>
          <w:strike w:val="0"/>
          <w:color w:val="1c1d1e"/>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Zotz, G., Weigelt, P., Kessler, M., Kreft, H., &amp; Taylor, A. (2021). EpiList 1.0: A global checklist of vascular epiphytes.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Ecology</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c1d1e"/>
          <w:sz w:val="24"/>
          <w:szCs w:val="24"/>
          <w:highlight w:val="white"/>
          <w:u w:val="none"/>
          <w:vertAlign w:val="baseline"/>
          <w:rtl w:val="0"/>
        </w:rPr>
        <w:t xml:space="preserve">102</w:t>
      </w:r>
      <w:r w:rsidDel="00000000" w:rsidR="00000000" w:rsidRPr="00000000">
        <w:rPr>
          <w:rFonts w:ascii="Times New Roman" w:cs="Times New Roman" w:eastAsia="Times New Roman" w:hAnsi="Times New Roman"/>
          <w:b w:val="0"/>
          <w:i w:val="0"/>
          <w:smallCaps w:val="0"/>
          <w:strike w:val="0"/>
          <w:color w:val="1c1d1e"/>
          <w:sz w:val="24"/>
          <w:szCs w:val="24"/>
          <w:highlight w:val="white"/>
          <w:u w:val="none"/>
          <w:vertAlign w:val="baseline"/>
          <w:rtl w:val="0"/>
        </w:rPr>
        <w:t xml:space="preserve">(6), e03326. https://doi.org/10.1002/ecy.3326</w:t>
      </w:r>
      <w:r w:rsidDel="00000000" w:rsidR="00000000" w:rsidRPr="00000000">
        <w:rPr>
          <w:rtl w:val="0"/>
        </w:rPr>
      </w:r>
    </w:p>
    <w:sectPr>
      <w:headerReference r:id="rId12" w:type="default"/>
      <w:footerReference r:id="rId13" w:type="default"/>
      <w:pgSz w:h="15840" w:w="12240" w:orient="portrait"/>
      <w:pgMar w:bottom="1440" w:top="1440" w:left="1440" w:right="144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536"/>
        <w:tab w:val="right" w:leader="none" w:pos="9072"/>
      </w:tabs>
      <w:spacing w:after="0" w:before="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536"/>
        <w:tab w:val="right" w:leader="none" w:pos="9072"/>
      </w:tabs>
      <w:spacing w:after="0" w:before="0"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536"/>
        <w:tab w:val="right" w:leader="none" w:pos="9072"/>
      </w:tabs>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et al.</w:t>
    </w:r>
  </w:p>
  <w:p w:rsidR="00000000" w:rsidDel="00000000" w:rsidP="00000000" w:rsidRDefault="00000000" w:rsidRPr="00000000" w14:paraId="000000B9">
    <w:pPr>
      <w:jc w:val="left"/>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1d1e"/>
        <w:sz w:val="22"/>
        <w:szCs w:val="22"/>
        <w:highlight w:val="white"/>
        <w:lang w:val="en"/>
      </w:rPr>
    </w:rPrDefault>
    <w:pPrDefault>
      <w:pPr>
        <w:spacing w:after="240" w:before="240" w:line="48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360" w:hanging="360"/>
    </w:pPr>
    <w:rPr>
      <w:rFonts w:ascii="Times New Roman" w:cs="Times New Roman" w:eastAsia="Times New Roman" w:hAnsi="Times New Roman"/>
      <w:b w:val="1"/>
      <w:sz w:val="24"/>
      <w:szCs w:val="24"/>
      <w:shd w:fill="auto" w:val="clear"/>
    </w:rPr>
  </w:style>
  <w:style w:type="paragraph" w:styleId="Heading2">
    <w:name w:val="heading 2"/>
    <w:basedOn w:val="Normal"/>
    <w:next w:val="Normal"/>
    <w:pPr>
      <w:spacing w:after="80" w:before="280" w:lineRule="auto"/>
      <w:jc w:val="left"/>
    </w:pPr>
    <w:rPr>
      <w:rFonts w:ascii="Times New Roman" w:cs="Times New Roman" w:eastAsia="Times New Roman" w:hAnsi="Times New Roman"/>
      <w:b w:val="1"/>
      <w:sz w:val="24"/>
      <w:szCs w:val="24"/>
      <w:shd w:fill="auto" w:val="clear"/>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lineRule="auto"/>
    </w:pPr>
    <w:rPr>
      <w:color w:val="666666"/>
    </w:rPr>
  </w:style>
  <w:style w:type="paragraph" w:styleId="Heading6">
    <w:name w:val="heading 6"/>
    <w:basedOn w:val="Normal"/>
    <w:next w:val="Normal"/>
    <w:pPr>
      <w:keepNext w:val="1"/>
      <w:keepLines w:val="1"/>
      <w:spacing w:after="80" w:lineRule="auto"/>
    </w:pPr>
    <w:rPr>
      <w:i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qFormat w:val="1"/>
    <w:rsid w:val="000C5910"/>
  </w:style>
  <w:style w:type="paragraph" w:styleId="Heading1">
    <w:name w:val="heading 1"/>
    <w:basedOn w:val="Normal"/>
    <w:next w:val="Normal"/>
    <w:uiPriority w:val="9"/>
    <w:qFormat w:val="1"/>
    <w:rsid w:val="00F255EB"/>
    <w:pPr>
      <w:keepNext w:val="1"/>
      <w:keepLines w:val="1"/>
      <w:numPr>
        <w:numId w:val="1"/>
      </w:numPr>
      <w:outlineLvl w:val="0"/>
    </w:pPr>
    <w:rPr>
      <w:rFonts w:ascii="Times New Roman" w:cs="Times New Roman" w:hAnsi="Times New Roman"/>
      <w:b w:val="1"/>
      <w:sz w:val="24"/>
      <w:szCs w:val="24"/>
      <w:highlight w:val="none"/>
    </w:rPr>
  </w:style>
  <w:style w:type="paragraph" w:styleId="Heading2">
    <w:name w:val="heading 2"/>
    <w:basedOn w:val="Normal"/>
    <w:next w:val="Normal"/>
    <w:uiPriority w:val="9"/>
    <w:unhideWhenUsed w:val="1"/>
    <w:qFormat w:val="1"/>
    <w:rsid w:val="00974776"/>
    <w:pPr>
      <w:spacing w:after="80" w:before="280"/>
      <w:jc w:val="left"/>
      <w:outlineLvl w:val="1"/>
    </w:pPr>
    <w:rPr>
      <w:rFonts w:ascii="Times New Roman" w:cs="Times New Roman" w:eastAsia="Times New Roman" w:hAnsi="Times New Roman"/>
      <w:b w:val="1"/>
      <w:sz w:val="24"/>
      <w:szCs w:val="24"/>
      <w:highlight w:val="none"/>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before="0"/>
    </w:pPr>
    <w:rPr>
      <w:sz w:val="52"/>
      <w:szCs w:val="52"/>
    </w:rPr>
  </w:style>
  <w:style w:type="paragraph" w:styleId="Subtitle">
    <w:name w:val="Subtitle"/>
    <w:basedOn w:val="Normal"/>
    <w:next w:val="Normal"/>
    <w:uiPriority w:val="11"/>
    <w:qFormat w:val="1"/>
    <w:pPr>
      <w:keepNext w:val="1"/>
      <w:keepLines w:val="1"/>
      <w:spacing w:after="320" w:before="0"/>
    </w:pPr>
    <w:rPr>
      <w:color w:val="666666"/>
      <w:sz w:val="30"/>
      <w:szCs w:val="30"/>
    </w:rPr>
  </w:style>
  <w:style w:type="paragraph" w:styleId="CommentText">
    <w:name w:val="annotation text"/>
    <w:basedOn w:val="Normal"/>
    <w:link w:val="CommentTextChar"/>
    <w:uiPriority w:val="99"/>
    <w:unhideWhenUsed w:val="1"/>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NormalWeb">
    <w:name w:val="Normal (Web)"/>
    <w:basedOn w:val="Normal"/>
    <w:uiPriority w:val="99"/>
    <w:semiHidden w:val="1"/>
    <w:unhideWhenUsed w:val="1"/>
    <w:rsid w:val="00E26BE2"/>
    <w:rPr>
      <w:rFonts w:ascii="Times New Roman" w:cs="Times New Roman" w:hAnsi="Times New Roman"/>
      <w:sz w:val="24"/>
      <w:szCs w:val="24"/>
    </w:rPr>
  </w:style>
  <w:style w:type="character" w:styleId="Hyperlink">
    <w:name w:val="Hyperlink"/>
    <w:basedOn w:val="DefaultParagraphFont"/>
    <w:uiPriority w:val="99"/>
    <w:unhideWhenUsed w:val="1"/>
    <w:rsid w:val="00472757"/>
    <w:rPr>
      <w:color w:val="0000ff" w:themeColor="hyperlink"/>
      <w:u w:val="single"/>
    </w:rPr>
  </w:style>
  <w:style w:type="character" w:styleId="UnresolvedMention">
    <w:name w:val="Unresolved Mention"/>
    <w:basedOn w:val="DefaultParagraphFont"/>
    <w:uiPriority w:val="99"/>
    <w:semiHidden w:val="1"/>
    <w:unhideWhenUsed w:val="1"/>
    <w:rsid w:val="00472757"/>
    <w:rPr>
      <w:color w:val="605e5c"/>
      <w:shd w:color="auto" w:fill="e1dfdd" w:val="clear"/>
    </w:rPr>
  </w:style>
  <w:style w:type="paragraph" w:styleId="CommentSubject">
    <w:name w:val="annotation subject"/>
    <w:basedOn w:val="CommentText"/>
    <w:next w:val="CommentText"/>
    <w:link w:val="CommentSubjectChar"/>
    <w:uiPriority w:val="99"/>
    <w:semiHidden w:val="1"/>
    <w:unhideWhenUsed w:val="1"/>
    <w:rsid w:val="0029307E"/>
    <w:rPr>
      <w:b w:val="1"/>
      <w:bCs w:val="1"/>
    </w:rPr>
  </w:style>
  <w:style w:type="character" w:styleId="CommentSubjectChar" w:customStyle="1">
    <w:name w:val="Comment Subject Char"/>
    <w:basedOn w:val="CommentTextChar"/>
    <w:link w:val="CommentSubject"/>
    <w:uiPriority w:val="99"/>
    <w:semiHidden w:val="1"/>
    <w:rsid w:val="0029307E"/>
    <w:rPr>
      <w:b w:val="1"/>
      <w:bCs w:val="1"/>
      <w:sz w:val="20"/>
      <w:szCs w:val="20"/>
    </w:rPr>
  </w:style>
  <w:style w:type="character" w:styleId="FollowedHyperlink">
    <w:name w:val="FollowedHyperlink"/>
    <w:basedOn w:val="DefaultParagraphFont"/>
    <w:uiPriority w:val="99"/>
    <w:semiHidden w:val="1"/>
    <w:unhideWhenUsed w:val="1"/>
    <w:rsid w:val="00C568CE"/>
    <w:rPr>
      <w:color w:val="800080" w:themeColor="followedHyperlink"/>
      <w:u w:val="single"/>
    </w:rPr>
  </w:style>
  <w:style w:type="paragraph" w:styleId="HTMLPreformatted">
    <w:name w:val="HTML Preformatted"/>
    <w:basedOn w:val="Normal"/>
    <w:link w:val="HTMLPreformattedChar"/>
    <w:uiPriority w:val="99"/>
    <w:semiHidden w:val="1"/>
    <w:unhideWhenUsed w:val="1"/>
    <w:rsid w:val="000902E9"/>
    <w:pPr>
      <w:spacing w:after="0" w:before="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0902E9"/>
    <w:rPr>
      <w:rFonts w:ascii="Consolas" w:hAnsi="Consolas"/>
      <w:sz w:val="20"/>
      <w:szCs w:val="20"/>
    </w:rPr>
  </w:style>
  <w:style w:type="paragraph" w:styleId="ListParagraph">
    <w:name w:val="List Paragraph"/>
    <w:basedOn w:val="Normal"/>
    <w:uiPriority w:val="34"/>
    <w:qFormat w:val="1"/>
    <w:rsid w:val="00A90D1F"/>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Bibliography">
    <w:name w:val="Bibliography"/>
    <w:basedOn w:val="Normal"/>
    <w:next w:val="Normal"/>
    <w:uiPriority w:val="37"/>
    <w:unhideWhenUsed w:val="1"/>
    <w:rsid w:val="00AF13EF"/>
    <w:pPr>
      <w:spacing w:after="0"/>
      <w:ind w:left="720" w:hanging="720"/>
    </w:pPr>
  </w:style>
  <w:style w:type="table" w:styleId="TableGrid">
    <w:name w:val="Table Grid"/>
    <w:basedOn w:val="TableNormal"/>
    <w:uiPriority w:val="39"/>
    <w:rsid w:val="001055CC"/>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1" w:customStyle="1">
    <w:basedOn w:val="TableNormal"/>
    <w:pPr>
      <w:spacing w:after="0" w:before="0" w:line="240" w:lineRule="auto"/>
    </w:pPr>
    <w:tblPr>
      <w:tblStyleRowBandSize w:val="1"/>
      <w:tblStyleColBandSize w:val="1"/>
    </w:tblPr>
  </w:style>
  <w:style w:type="table" w:styleId="a2" w:customStyle="1">
    <w:basedOn w:val="TableNormal"/>
    <w:pPr>
      <w:spacing w:after="0" w:before="0" w:line="240" w:lineRule="auto"/>
    </w:pPr>
    <w:tblPr>
      <w:tblStyleRowBandSize w:val="1"/>
      <w:tblStyleColBandSize w:val="1"/>
    </w:tblPr>
  </w:style>
  <w:style w:type="paragraph" w:styleId="Header">
    <w:name w:val="header"/>
    <w:basedOn w:val="Normal"/>
    <w:link w:val="HeaderChar"/>
    <w:uiPriority w:val="99"/>
    <w:unhideWhenUsed w:val="1"/>
    <w:rsid w:val="004605D7"/>
    <w:pPr>
      <w:tabs>
        <w:tab w:val="center" w:pos="4536"/>
        <w:tab w:val="right" w:pos="9072"/>
      </w:tabs>
      <w:spacing w:after="0" w:before="0" w:line="240" w:lineRule="auto"/>
    </w:pPr>
  </w:style>
  <w:style w:type="character" w:styleId="HeaderChar" w:customStyle="1">
    <w:name w:val="Header Char"/>
    <w:basedOn w:val="DefaultParagraphFont"/>
    <w:link w:val="Header"/>
    <w:uiPriority w:val="99"/>
    <w:rsid w:val="004605D7"/>
  </w:style>
  <w:style w:type="paragraph" w:styleId="Footer">
    <w:name w:val="footer"/>
    <w:basedOn w:val="Normal"/>
    <w:link w:val="FooterChar"/>
    <w:uiPriority w:val="99"/>
    <w:unhideWhenUsed w:val="1"/>
    <w:rsid w:val="004605D7"/>
    <w:pPr>
      <w:tabs>
        <w:tab w:val="center" w:pos="4536"/>
        <w:tab w:val="right" w:pos="9072"/>
      </w:tabs>
      <w:spacing w:after="0" w:before="0" w:line="240" w:lineRule="auto"/>
    </w:pPr>
  </w:style>
  <w:style w:type="character" w:styleId="FooterChar" w:customStyle="1">
    <w:name w:val="Footer Char"/>
    <w:basedOn w:val="DefaultParagraphFont"/>
    <w:link w:val="Footer"/>
    <w:uiPriority w:val="99"/>
    <w:rsid w:val="004605D7"/>
  </w:style>
  <w:style w:type="character" w:styleId="LineNumber">
    <w:name w:val="line number"/>
    <w:basedOn w:val="DefaultParagraphFont"/>
    <w:uiPriority w:val="99"/>
    <w:semiHidden w:val="1"/>
    <w:unhideWhenUsed w:val="1"/>
    <w:rsid w:val="005E1BE4"/>
  </w:style>
  <w:style w:type="table" w:styleId="a3" w:customStyle="1">
    <w:basedOn w:val="TableNormal"/>
    <w:pPr>
      <w:spacing w:after="0" w:before="0" w:line="240" w:lineRule="auto"/>
    </w:pPr>
    <w:tblPr>
      <w:tblStyleRowBandSize w:val="1"/>
      <w:tblStyleColBandSize w:val="1"/>
    </w:tblPr>
  </w:style>
  <w:style w:type="table" w:styleId="a4" w:customStyle="1">
    <w:basedOn w:val="TableNormal"/>
    <w:pPr>
      <w:spacing w:after="0" w:before="0" w:line="240" w:lineRule="auto"/>
    </w:pPr>
    <w:tblPr>
      <w:tblStyleRowBandSize w:val="1"/>
      <w:tblStyleColBandSize w:val="1"/>
    </w:tblPr>
  </w:style>
  <w:style w:type="table" w:styleId="a5" w:customStyle="1">
    <w:basedOn w:val="TableNormal"/>
    <w:pPr>
      <w:spacing w:after="0" w:before="0" w:line="240" w:lineRule="auto"/>
    </w:pPr>
    <w:tblPr>
      <w:tblStyleRowBandSize w:val="1"/>
      <w:tblStyleColBandSize w:val="1"/>
    </w:tblPr>
  </w:style>
  <w:style w:type="table" w:styleId="a6" w:customStyle="1">
    <w:basedOn w:val="TableNormal"/>
    <w:pPr>
      <w:spacing w:after="0" w:before="0" w:line="240" w:lineRule="auto"/>
    </w:pPr>
    <w:tblPr>
      <w:tblStyleRowBandSize w:val="1"/>
      <w:tblStyleColBandSize w:val="1"/>
    </w:tblPr>
  </w:style>
  <w:style w:type="table" w:styleId="a7" w:customStyle="1">
    <w:basedOn w:val="TableNormal"/>
    <w:pPr>
      <w:spacing w:after="0" w:before="0" w:line="240" w:lineRule="auto"/>
    </w:pPr>
    <w:tblPr>
      <w:tblStyleRowBandSize w:val="1"/>
      <w:tblStyleColBandSize w:val="1"/>
    </w:tblPr>
  </w:style>
  <w:style w:type="table" w:styleId="a8" w:customStyle="1">
    <w:basedOn w:val="TableNormal"/>
    <w:pPr>
      <w:spacing w:after="0" w:before="0" w:line="240" w:lineRule="auto"/>
    </w:pPr>
    <w:tblPr>
      <w:tblStyleRowBandSize w:val="1"/>
      <w:tblStyleColBandSize w:val="1"/>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320" w:before="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epigdatabase.org/" TargetMode="Externa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3HrBdombUK+jRThJmsflze2tAg==">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2025-01-28T10:08:00Z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id="ks8jOcTm"/&gt;&lt;style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