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22"/>
          <w:szCs w:val="22"/>
        </w:rPr>
        <w:t xml:space="preserve">Supporting Information</w:t>
      </w:r>
    </w:p>
    <w:p>
      <w:pPr>
        <w:spacing w:after="80" w:before="0"/>
        <w:jc w:val="center"/>
      </w:pPr>
      <w:r>
        <w:rPr>
          <w:rFonts w:ascii="Times New Roman" w:cs="Times New Roman" w:eastAsia="Times New Roman" w:hAnsi="Times New Roman"/>
          <w:i/>
          <w:iCs/>
          <w:sz w:val="22"/>
          <w:szCs w:val="22"/>
        </w:rPr>
        <w:t xml:space="preserve">Data Shortfalls on Vascular Epiphytes in the Neotropics</w:t>
      </w:r>
    </w:p>
    <w:p>
      <w:pPr>
        <w:spacing w:after="600" w:before="0"/>
        <w:jc w:val="center"/>
      </w:pPr>
      <w:r>
        <w:rPr>
          <w:rFonts w:ascii="Times New Roman" w:cs="Times New Roman" w:eastAsia="Times New Roman" w:hAnsi="Times New Roman"/>
          <w:sz w:val="22"/>
          <w:szCs w:val="22"/>
        </w:rPr>
        <w:t xml:space="preserve">Manuscript ID: BITR-25-097 | Diversity and Distributions</w:t>
      </w:r>
    </w:p>
    <w:p>
      <w:pPr>
        <w:pBdr>
          <w:bottom w:val="single" w:color="888888" w:sz="6" w:space="4"/>
        </w:pBdr>
        <w:spacing w:after="160" w:before="300"/>
      </w:pPr>
      <w:r>
        <w:rPr>
          <w:rFonts w:ascii="Times New Roman" w:cs="Times New Roman" w:eastAsia="Times New Roman" w:hAnsi="Times New Roman"/>
          <w:b/>
          <w:bCs/>
          <w:sz w:val="22"/>
          <w:szCs w:val="22"/>
        </w:rPr>
        <w:t xml:space="preserve">APPENDICES S1–S3: TABLES</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S1, Table S1.1.</w:t>
      </w:r>
      <w:r>
        <w:rPr>
          <w:rFonts w:ascii="Times New Roman" w:cs="Times New Roman" w:eastAsia="Times New Roman" w:hAnsi="Times New Roman"/>
          <w:sz w:val="22"/>
          <w:szCs w:val="22"/>
        </w:rPr>
        <w:t xml:space="preserve"> Spearman rank correlations (ρ) between the three KnowBR inventory completeness metrics (slope, completeness %, and R/S ratio) across all five vascular epiphyte families (Araceae, Bromeliaceae, Orchidaceae, Piperaceae, and Polypodiaceae) and for all families combined. All pairwise correlations were highly concordant (ρ = 0.86–0.99, all p &lt; 0.001; n = number of grid cells with ≥ 10 records per family), supporting the use of the three metrics as convergent evidence of the Wallacean shortfall rather than independent measures.</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S2, Table S2.1.</w:t>
      </w:r>
      <w:r>
        <w:rPr>
          <w:rFonts w:ascii="Times New Roman" w:cs="Times New Roman" w:eastAsia="Times New Roman" w:hAnsi="Times New Roman"/>
          <w:sz w:val="22"/>
          <w:szCs w:val="22"/>
        </w:rPr>
        <w:t xml:space="preserve"> Sensitivity analysis of the minimum-records threshold used to include grid cells in KnowBR analyses. Spearman rank correlations (ρ) between slope-based completeness rankings obtained with thresholds of 5, 10, 15, 20, 25, and 30 records per cell, for all families combined and for each family individually. All pairwise correlations were ρ = 1.00 (p &lt; 0.001), indicating that the threshold of 10 records used in this study produces results that are robust across the full range of thresholds tested. The threshold of 10 records retains 94.3% of grid cells with any occurrence data.</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S3, Table S3.1.</w:t>
      </w:r>
      <w:r>
        <w:rPr>
          <w:rFonts w:ascii="Times New Roman" w:cs="Times New Roman" w:eastAsia="Times New Roman" w:hAnsi="Times New Roman"/>
          <w:sz w:val="22"/>
          <w:szCs w:val="22"/>
        </w:rPr>
        <w:t xml:space="preserve"> Summary of inventory completeness metrics by biogeographic province (Morrone et al., 2022) for all five vascular epiphyte families combined. Columns report the mean number of records per cell (Records), mean species richness (SR), and the percentage of grid cells classified as well-sampled (WS), fairly-sampled (FS), and poorly-sampled (PS) based on the slope proxy (Slope &lt; 0.02, 0.02–0.3, &gt; 0.3, respectively) and the combined completeness + R/S ratio proxy (GS_WS, GS_FS, GS_PS). Provinces are listed alphabetically. Data generated by Script 06 (R_scripts/06_Manuscript_summary.Rmd).</w:t>
      </w:r>
    </w:p>
    <w:p>
      <w:pPr>
        <w:spacing w:after="80" w:before="0"/>
      </w:pPr>
      <w:r>
        <w:rPr>
          <w:rFonts w:ascii="Times New Roman" w:cs="Times New Roman" w:eastAsia="Times New Roman" w:hAnsi="Times New Roman"/>
          <w:sz w:val="22"/>
          <w:szCs w:val="22"/>
        </w:rPr>
        <w:t xml:space="preserve"/>
      </w:r>
    </w:p>
    <w:p>
      <w:pPr>
        <w:spacing w:after="80" w:before="0"/>
      </w:pPr>
      <w:r>
        <w:rPr>
          <w:rFonts w:ascii="Times New Roman" w:cs="Times New Roman" w:eastAsia="Times New Roman" w:hAnsi="Times New Roman"/>
          <w:sz w:val="22"/>
          <w:szCs w:val="22"/>
        </w:rPr>
        <w:t xml:space="preserve"/>
      </w:r>
    </w:p>
    <w:p>
      <w:pPr>
        <w:pBdr>
          <w:bottom w:val="single" w:color="888888" w:sz="6" w:space="4"/>
        </w:pBdr>
        <w:spacing w:after="160" w:before="300"/>
      </w:pPr>
      <w:r>
        <w:rPr>
          <w:rFonts w:ascii="Times New Roman" w:cs="Times New Roman" w:eastAsia="Times New Roman" w:hAnsi="Times New Roman"/>
          <w:b/>
          <w:bCs/>
          <w:sz w:val="22"/>
          <w:szCs w:val="22"/>
        </w:rPr>
        <w:t xml:space="preserve">APPENDICES S4–S8: FIGURES</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S4, Figure S4.1.</w:t>
      </w:r>
      <w:r>
        <w:rPr>
          <w:rFonts w:ascii="Times New Roman" w:cs="Times New Roman" w:eastAsia="Times New Roman" w:hAnsi="Times New Roman"/>
          <w:sz w:val="22"/>
          <w:szCs w:val="22"/>
        </w:rPr>
        <w:t xml:space="preserve"> Sensitivity analysis of inventory completeness rankings to the minimum-records threshold. Maps show the slope-based completeness classification (well-sampled: slope &lt; 0.02, cyan; fairly-sampled: 0.02 ≤ slope ≤ 0.3, light green; poorly-sampled: slope &gt; 0.3, red) for all vascular epiphyte families combined, using thresholds of 5, 10, 15, 20, 25, and 30 minimum records per grid cell. The spatial pattern of completeness is virtually identical across all thresholds (Spearman ρ = 1.00; see Appendix S2, Table S2.1), confirming that the threshold of 10 records produces robust results. The Behrmann equal-area projection is used; grid cell resolution ≈ 55 km at the equator. Scale bar: 1,000 km.</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S5, Figure S5.1.</w:t>
      </w:r>
      <w:r>
        <w:rPr>
          <w:rFonts w:ascii="Times New Roman" w:cs="Times New Roman" w:eastAsia="Times New Roman" w:hAnsi="Times New Roman"/>
          <w:sz w:val="22"/>
          <w:szCs w:val="22"/>
        </w:rPr>
        <w:t xml:space="preserve"> Geographic distribution of occurrence records for each of the five most species-rich vascular epiphyte families (Araceae, Bromeliaceae, Orchidaceae, Piperaceae, and Polypodiaceae) in the Neotropics. Colour intensity indicates the number of georeferenced records per 30 arc-minute grid cell (~55 km at the equator). The Behrmann equal-area projection is used. White cells indicate no available occurrence data. Scale bar: 1,000 km.</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S6, Figure S6.1.</w:t>
      </w:r>
      <w:r>
        <w:rPr>
          <w:rFonts w:ascii="Times New Roman" w:cs="Times New Roman" w:eastAsia="Times New Roman" w:hAnsi="Times New Roman"/>
          <w:sz w:val="22"/>
          <w:szCs w:val="22"/>
        </w:rPr>
        <w:t xml:space="preserve"> Sampling completeness (slope-based proxy) for each of the five most species-rich vascular epiphyte families (Araceae, Bromeliaceae, Orchidaceae, Piperaceae, and Polypodiaceae) in the Neotropics. Grid cells are classified as well-sampled (slope &lt; 0.02, cyan), fairly-sampled (0.02 ≤ slope ≤ 0.3, light green), or poorly-sampled (slope &gt; 0.3, red), reflecting the slope of the species accumulation curve estimated with KnowBR. The Behrmann equal-area projection is used; grid cell resolution ≈ 55 km at the equator. Scale bar: 1,000 km.</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S7, Figure S7.1.</w:t>
      </w:r>
      <w:r>
        <w:rPr>
          <w:rFonts w:ascii="Times New Roman" w:cs="Times New Roman" w:eastAsia="Times New Roman" w:hAnsi="Times New Roman"/>
          <w:sz w:val="22"/>
          <w:szCs w:val="22"/>
        </w:rPr>
        <w:t xml:space="preserve"> Distributional knowledge gaps (Wallacean shortfall) quantified by the combined completeness and R/S ratio proxy for each of the five most species-rich vascular epiphyte families (Araceae, Bromeliaceae, Orchidaceae, Piperaceae, and Polypodiaceae) in the Neotropics. Grid cells are classified as well-sampled (completeness &gt; 90% and R/S &gt; 15), fairly-sampled, or poorly-sampled (completeness &lt; 50% and R/S &lt; 3). The Behrmann equal-area projection is used; grid cell resolution ≈ 55 km at the equator. Scale bar: 1,000 km.</w:t>
      </w:r>
    </w:p>
    <w:p>
      <w:pPr>
        <w:spacing w:after="80" w:before="0"/>
      </w:pPr>
      <w:r>
        <w:rPr>
          <w:rFonts w:ascii="Times New Roman" w:cs="Times New Roman" w:eastAsia="Times New Roman" w:hAnsi="Times New Roman"/>
          <w:sz w:val="22"/>
          <w:szCs w:val="22"/>
        </w:rPr>
        <w:t xml:space="preserve"/>
      </w:r>
    </w:p>
    <w:p>
      <w:pPr>
        <w:spacing w:after="160" w:before="0"/>
        <w:jc w:val="both"/>
      </w:pPr>
      <w:r>
        <w:rPr>
          <w:rFonts w:ascii="Times New Roman" w:cs="Times New Roman" w:eastAsia="Times New Roman" w:hAnsi="Times New Roman"/>
          <w:b/>
          <w:bCs/>
          <w:sz w:val="22"/>
          <w:szCs w:val="22"/>
        </w:rPr>
        <w:t xml:space="preserve">Appendix S8, Figure S8.1.</w:t>
      </w:r>
      <w:r>
        <w:rPr>
          <w:rFonts w:ascii="Times New Roman" w:cs="Times New Roman" w:eastAsia="Times New Roman" w:hAnsi="Times New Roman"/>
          <w:sz w:val="22"/>
          <w:szCs w:val="22"/>
        </w:rPr>
        <w:t xml:space="preserve"> Spatial clustering of inventory completeness for the five most diverse vascular epiphyte families in the Neotropics, assessed using the Getis-Ord Gi* statistic (Getis &amp; Ord, 1992; Ramírez-Barahona et al., 2023) implemented in the </w:t>
      </w:r>
      <w:r>
        <w:rPr>
          <w:rFonts w:ascii="Times New Roman" w:cs="Times New Roman" w:eastAsia="Times New Roman" w:hAnsi="Times New Roman"/>
          <w:i/>
          <w:iCs/>
          <w:sz w:val="22"/>
          <w:szCs w:val="22"/>
        </w:rPr>
        <w:t xml:space="preserve">spdep</w:t>
      </w:r>
      <w:r>
        <w:rPr>
          <w:rFonts w:ascii="Times New Roman" w:cs="Times New Roman" w:eastAsia="Times New Roman" w:hAnsi="Times New Roman"/>
          <w:sz w:val="22"/>
          <w:szCs w:val="22"/>
        </w:rPr>
        <w:t xml:space="preserve"> package (Bivand &amp; Wong, 2018). Grid cells with statistically significant clustering of high completeness values are shown in red (Gi* &gt; 1.96) and those with clustering of low completeness in blue (Gi* &lt; −1.96; 95% confidence level). Prior to computing Gi*, completeness values were transformed to incompleteness (100 − completeness) and slope values were inverted (1 − slope), so that high Gi* values identify clusters of greatest sampling deficiency. The clusters in red reflect historical concentration of botanical survey effort in accessible and well-resourced regions; they do not represent priority areas for future sampling. True sampling priorities correspond to grid cells with no occurrence data (white cells in Figures 1 and 2 of the main text). Data: Carmona-Higuita et al. (2023); Behrmann projection; resolution ≈ 55 km at equator. Scale bar: 1,000 km.</w:t>
      </w:r>
    </w:p>
    <w:p>
      <w:pPr>
        <w:spacing w:after="80" w:before="0"/>
      </w:pPr>
      <w:r>
        <w:rPr>
          <w:rFonts w:ascii="Times New Roman" w:cs="Times New Roman" w:eastAsia="Times New Roman" w:hAnsi="Times New Roman"/>
          <w:sz w:val="22"/>
          <w:szCs w:val="22"/>
        </w:rPr>
        <w:t xml:space="preserve"/>
      </w:r>
    </w:p>
    <w:p>
      <w:pPr>
        <w:pBdr>
          <w:left w:val="single" w:color="AAAAAA" w:sz="8" w:space="6"/>
        </w:pBdr>
        <w:shd w:fill="F5F5F5"/>
        <w:spacing w:after="80" w:before="300"/>
        <w:ind w:left="160"/>
        <w:jc w:val="both"/>
      </w:pPr>
      <w:r>
        <w:rPr>
          <w:rFonts w:ascii="Times New Roman" w:cs="Times New Roman" w:eastAsia="Times New Roman" w:hAnsi="Times New Roman"/>
          <w:i/>
          <w:iCs/>
          <w:sz w:val="22"/>
          <w:szCs w:val="22"/>
        </w:rPr>
        <w:t xml:space="preserve">Note on figure numbering: </w:t>
      </w:r>
      <w:r>
        <w:rPr>
          <w:rFonts w:ascii="Times New Roman" w:cs="Times New Roman" w:eastAsia="Times New Roman" w:hAnsi="Times New Roman"/>
          <w:sz w:val="22"/>
          <w:szCs w:val="22"/>
        </w:rPr>
        <w:t xml:space="preserve">Per Diversity and Distributions author guidelines, figures and tables in the Supporting Information are numbered by Appendix (e.g., Figure S4.1 = first figure in Appendix S4). The eight appendices above are referred to in the main text as "Appendix S1" through "Appendix S8 (Supporting Information)".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2026-08-06T10:09:50.091Z</dcterms:created>
  <dcterms:modified xsi:type="dcterms:W3CDTF">2026-08-06T10:09:50.093Z</dcterms:modified>
</cp:coreProperties>
</file>

<file path=docProps/custom.xml><?xml version="1.0" encoding="utf-8"?>
<Properties xmlns="http://schemas.openxmlformats.org/officeDocument/2006/custom-properties" xmlns:vt="http://schemas.openxmlformats.org/officeDocument/2006/docPropsVTypes"/>
</file>